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1D" w:rsidRPr="00C22A1D" w:rsidRDefault="00C22A1D" w:rsidP="00090A7B">
      <w:pPr>
        <w:widowControl/>
        <w:spacing w:before="100" w:beforeAutospacing="1" w:after="100" w:afterAutospacing="1" w:line="340" w:lineRule="exact"/>
        <w:jc w:val="center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臺南市關廟區保東</w:t>
      </w: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國民小學104學年度鐘點代課教師及2688專案教師甄選簡章</w:t>
      </w:r>
    </w:p>
    <w:p w:rsidR="00C22A1D" w:rsidRPr="00C22A1D" w:rsidRDefault="00C22A1D" w:rsidP="00090A7B">
      <w:pPr>
        <w:widowControl/>
        <w:spacing w:before="100" w:beforeAutospacing="1" w:after="100" w:afterAutospacing="1" w:line="340" w:lineRule="exact"/>
        <w:jc w:val="righ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16"/>
          <w:szCs w:val="16"/>
        </w:rPr>
        <w:t> (104.8.12)</w:t>
      </w:r>
    </w:p>
    <w:p w:rsidR="00C22A1D" w:rsidRPr="00C22A1D" w:rsidRDefault="00C22A1D" w:rsidP="00090A7B">
      <w:pPr>
        <w:widowControl/>
        <w:spacing w:before="100" w:beforeAutospacing="1" w:after="100" w:afterAutospacing="1" w:line="340" w:lineRule="exact"/>
        <w:ind w:left="510" w:hanging="51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壹、</w:t>
      </w:r>
      <w:r w:rsidRPr="00C22A1D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依據：</w:t>
      </w:r>
    </w:p>
    <w:p w:rsidR="00C22A1D" w:rsidRPr="00C22A1D" w:rsidRDefault="00C22A1D" w:rsidP="004B4E6A">
      <w:pPr>
        <w:widowControl/>
        <w:spacing w:before="100" w:beforeAutospacing="1" w:after="100" w:afterAutospacing="1" w:line="360" w:lineRule="atLeast"/>
        <w:ind w:leftChars="100" w:left="240"/>
        <w:jc w:val="both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教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師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法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、教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育人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員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任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用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條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例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、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中小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學兼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任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代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課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及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代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理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教師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聘任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辦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法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、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公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立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高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級中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等以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下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學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校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教師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甄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選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作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業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要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點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等有</w:t>
      </w:r>
      <w:r w:rsidRPr="00C22A1D">
        <w:rPr>
          <w:rFonts w:ascii="標楷體" w:eastAsia="標楷體" w:hAnsi="標楷體" w:cs="Arial" w:hint="eastAsia"/>
          <w:color w:val="000000"/>
          <w:spacing w:val="-12"/>
          <w:kern w:val="0"/>
          <w:sz w:val="23"/>
          <w:szCs w:val="23"/>
        </w:rPr>
        <w:t>關規</w:t>
      </w:r>
      <w:r w:rsidRPr="00C22A1D">
        <w:rPr>
          <w:rFonts w:ascii="標楷體" w:eastAsia="標楷體" w:hAnsi="標楷體" w:cs="Arial" w:hint="eastAsia"/>
          <w:color w:val="000000"/>
          <w:spacing w:val="-14"/>
          <w:kern w:val="0"/>
          <w:sz w:val="23"/>
          <w:szCs w:val="23"/>
        </w:rPr>
        <w:t>定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</w:p>
    <w:p w:rsidR="00C22A1D" w:rsidRPr="004B4E6A" w:rsidRDefault="00C22A1D" w:rsidP="004B4E6A">
      <w:pPr>
        <w:widowControl/>
        <w:spacing w:before="100" w:beforeAutospacing="1" w:after="100" w:afterAutospacing="1" w:line="300" w:lineRule="atLeast"/>
        <w:ind w:left="510" w:hanging="510"/>
        <w:rPr>
          <w:rFonts w:ascii="標楷體" w:eastAsia="標楷體" w:hAnsi="標楷體" w:cs="Arial"/>
          <w:b/>
          <w:bCs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貳、</w:t>
      </w:r>
      <w:r w:rsidRPr="00C22A1D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甄選類別、錄取名額及聘期：</w:t>
      </w:r>
      <w:r w:rsidR="004B4E6A">
        <w:rPr>
          <w:rFonts w:ascii="標楷體" w:eastAsia="標楷體" w:hAnsi="標楷體" w:cs="Arial"/>
          <w:b/>
          <w:bCs/>
          <w:color w:val="000000"/>
          <w:kern w:val="0"/>
          <w:sz w:val="23"/>
          <w:szCs w:val="23"/>
        </w:rPr>
        <w:br/>
      </w:r>
      <w:r w:rsidR="004B4E6A" w:rsidRPr="004B4E6A">
        <w:rPr>
          <w:rFonts w:ascii="標楷體" w:eastAsia="標楷體" w:hAnsi="標楷體" w:hint="eastAsia"/>
        </w:rPr>
        <w:t>2688專案增置教師及鐘點教師。(屬編制外)</w:t>
      </w:r>
    </w:p>
    <w:p w:rsidR="004B4E6A" w:rsidRPr="00C438DD" w:rsidRDefault="004B4E6A" w:rsidP="004B4E6A">
      <w:pPr>
        <w:widowControl/>
        <w:spacing w:line="300" w:lineRule="atLeast"/>
        <w:ind w:leftChars="377" w:left="905"/>
        <w:rPr>
          <w:rFonts w:ascii="標楷體" w:eastAsia="標楷體" w:hAnsi="標楷體" w:cs="Arial"/>
          <w:color w:val="333333"/>
          <w:kern w:val="0"/>
          <w:sz w:val="23"/>
          <w:szCs w:val="23"/>
        </w:rPr>
      </w:pP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(一)</w:t>
      </w:r>
      <w:r w:rsidRPr="00C438DD">
        <w:rPr>
          <w:rFonts w:ascii="標楷體" w:eastAsia="標楷體" w:hAnsi="標楷體" w:cs="Arial" w:hint="eastAsia"/>
          <w:b/>
          <w:bCs/>
          <w:color w:val="333333"/>
          <w:kern w:val="0"/>
          <w:sz w:val="23"/>
          <w:szCs w:val="23"/>
        </w:rPr>
        <w:t>音樂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科任教師: 1人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br/>
        <w:t>(二)</w:t>
      </w:r>
      <w:r w:rsidRPr="00C438DD">
        <w:rPr>
          <w:rFonts w:ascii="標楷體" w:eastAsia="標楷體" w:hAnsi="標楷體" w:cs="Arial" w:hint="eastAsia"/>
          <w:b/>
          <w:color w:val="333333"/>
          <w:kern w:val="0"/>
          <w:sz w:val="23"/>
          <w:szCs w:val="23"/>
        </w:rPr>
        <w:t>視</w:t>
      </w:r>
      <w:r w:rsidRPr="00C438DD">
        <w:rPr>
          <w:rFonts w:ascii="標楷體" w:eastAsia="標楷體" w:hAnsi="標楷體" w:cs="Arial" w:hint="eastAsia"/>
          <w:b/>
          <w:bCs/>
          <w:color w:val="333333"/>
          <w:kern w:val="0"/>
          <w:sz w:val="23"/>
          <w:szCs w:val="23"/>
        </w:rPr>
        <w:t>覺藝術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 xml:space="preserve">科任教師: </w:t>
      </w:r>
      <w:r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1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人</w:t>
      </w:r>
    </w:p>
    <w:p w:rsidR="004B4E6A" w:rsidRPr="00C438DD" w:rsidRDefault="004B4E6A" w:rsidP="004B4E6A">
      <w:pPr>
        <w:widowControl/>
        <w:spacing w:line="300" w:lineRule="atLeast"/>
        <w:ind w:leftChars="377" w:left="90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(三)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 w:val="23"/>
          <w:szCs w:val="23"/>
        </w:rPr>
        <w:t>表演藝術老師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 xml:space="preserve">: </w:t>
      </w:r>
      <w:r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1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人</w:t>
      </w:r>
    </w:p>
    <w:p w:rsidR="00C22A1D" w:rsidRPr="00C22A1D" w:rsidRDefault="004B4E6A" w:rsidP="004B4E6A">
      <w:pPr>
        <w:widowControl/>
        <w:spacing w:line="300" w:lineRule="atLeast"/>
        <w:ind w:leftChars="377" w:left="90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(四)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 w:val="23"/>
          <w:szCs w:val="23"/>
        </w:rPr>
        <w:t>一般代課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 xml:space="preserve">: </w:t>
      </w:r>
      <w:r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1</w:t>
      </w:r>
      <w:r w:rsidRPr="00C438DD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人</w:t>
      </w:r>
    </w:p>
    <w:p w:rsidR="00C22A1D" w:rsidRPr="00C22A1D" w:rsidRDefault="00C22A1D" w:rsidP="00C22A1D">
      <w:pPr>
        <w:widowControl/>
        <w:spacing w:before="100" w:beforeAutospacing="1" w:after="100" w:afterAutospacing="1" w:line="360" w:lineRule="atLeast"/>
        <w:ind w:left="96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二、聘期自104年8月31日起至105年6月30日止。</w:t>
      </w:r>
    </w:p>
    <w:p w:rsidR="00C22A1D" w:rsidRPr="00C22A1D" w:rsidRDefault="00C22A1D" w:rsidP="00C22A1D">
      <w:pPr>
        <w:widowControl/>
        <w:spacing w:before="100" w:beforeAutospacing="1" w:after="100" w:afterAutospacing="1" w:line="360" w:lineRule="atLeast"/>
        <w:ind w:left="96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待遇：依實際上課節數實核實發給鐘點費。（如獲聘為2688專案教師每節鐘點費鐘點費260元或320元知領取資格，以市府教育局最新規定及本校所獲補助經費情形為準），其他一般專業相關科系畢業及擔任管控、鐘點代課教師者每節260元，勞保、勞退、二代健保依規定按月繳納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510" w:hanging="51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參、公告時間、方式及簡章表件</w:t>
      </w:r>
    </w:p>
    <w:p w:rsidR="00C22A1D" w:rsidRDefault="00C22A1D" w:rsidP="00C22A1D">
      <w:pPr>
        <w:widowControl/>
        <w:spacing w:before="100" w:beforeAutospacing="1" w:after="100" w:afterAutospacing="1" w:line="300" w:lineRule="atLeast"/>
        <w:ind w:left="510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</w:t>
      </w:r>
      <w:r w:rsidR="00FC2278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公告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時間：</w:t>
      </w: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602"/>
      </w:tblGrid>
      <w:tr w:rsidR="00363272" w:rsidRPr="00363272" w:rsidTr="009A20AC">
        <w:trPr>
          <w:trHeight w:val="53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第1次招考公告時間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104年8月12日（星期三）上午10時至</w:t>
            </w:r>
          </w:p>
          <w:p w:rsidR="00363272" w:rsidRPr="00363272" w:rsidRDefault="00363272" w:rsidP="00363272">
            <w:pPr>
              <w:widowControl/>
              <w:spacing w:before="100" w:beforeAutospacing="1" w:after="100" w:afterAutospacing="1" w:line="3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104年8月1</w:t>
            </w:r>
            <w:r w:rsidR="00536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 (星期</w:t>
            </w:r>
            <w:r w:rsidR="00536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 下午4時</w:t>
            </w:r>
          </w:p>
        </w:tc>
      </w:tr>
      <w:tr w:rsidR="00363272" w:rsidRPr="00363272" w:rsidTr="009A20AC">
        <w:trPr>
          <w:trHeight w:val="53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第2次招考公告時間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104年8月1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）上午8時至下午4時</w:t>
            </w:r>
          </w:p>
        </w:tc>
      </w:tr>
      <w:tr w:rsidR="00363272" w:rsidRPr="00363272" w:rsidTr="009A20AC">
        <w:trPr>
          <w:trHeight w:val="53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第3次招考公告時間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363272">
            <w:pPr>
              <w:widowControl/>
              <w:spacing w:before="100" w:beforeAutospacing="1" w:after="100" w:afterAutospacing="1" w:line="3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</w:t>
            </w:r>
            <w:r w:rsidR="00536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）上午8時至下午4時</w:t>
            </w:r>
          </w:p>
        </w:tc>
      </w:tr>
    </w:tbl>
    <w:p w:rsidR="00C22A1D" w:rsidRPr="00C22A1D" w:rsidRDefault="00C22A1D" w:rsidP="00C22A1D">
      <w:pPr>
        <w:widowControl/>
        <w:spacing w:before="120" w:line="300" w:lineRule="atLeast"/>
        <w:ind w:left="960" w:hanging="9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二、方式：</w:t>
      </w: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公告於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本校網站(http://</w:t>
      </w:r>
      <w:r w:rsidR="003F54F6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bdes.</w:t>
      </w:r>
      <w:r w:rsidR="003F54F6">
        <w:rPr>
          <w:rFonts w:ascii="標楷體" w:eastAsia="標楷體" w:hAnsi="標楷體" w:cs="Arial"/>
          <w:color w:val="000000"/>
          <w:kern w:val="0"/>
          <w:sz w:val="23"/>
          <w:szCs w:val="23"/>
        </w:rPr>
        <w:t>dcs.tn.edu.tw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/)、臺南市教育局資訊中心代課人力系統(http://104.tn.edu.tw/)、臺南市教育局學校校務資訊中心-公告區(http://bulletin.tn.edu.tw/default.aspx)。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三、簡章表件：上開網站下載使用(簡章、報名表、切結書、委託書等)。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510" w:hanging="51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lastRenderedPageBreak/>
        <w:t>肆、報名日期、地點、應繳交證件及方式：</w:t>
      </w:r>
    </w:p>
    <w:p w:rsidR="00363272" w:rsidRDefault="00C22A1D" w:rsidP="00C22A1D">
      <w:pPr>
        <w:widowControl/>
        <w:spacing w:before="100" w:beforeAutospacing="1" w:after="100" w:afterAutospacing="1" w:line="300" w:lineRule="atLeast"/>
        <w:ind w:left="991" w:hanging="991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一、日期：採一次公告分次招考方式辦理，錄取人數額滿不再辦理第2或第3次招考，惟是否額滿，請自行查閱本校網站（</w:t>
      </w:r>
      <w:r w:rsidR="003F54F6" w:rsidRPr="003F54F6">
        <w:rPr>
          <w:rFonts w:ascii="標楷體" w:eastAsia="標楷體" w:hAnsi="標楷體" w:cs="Arial"/>
          <w:color w:val="000000"/>
          <w:kern w:val="0"/>
          <w:sz w:val="23"/>
          <w:szCs w:val="23"/>
        </w:rPr>
        <w:t>http://bdes.dcs.tn.edu.tw/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）公告。</w:t>
      </w:r>
      <w:r w:rsidR="00363272">
        <w:rPr>
          <w:rFonts w:ascii="標楷體" w:eastAsia="標楷體" w:hAnsi="標楷體" w:cs="Arial"/>
          <w:color w:val="000000"/>
          <w:kern w:val="0"/>
          <w:sz w:val="23"/>
          <w:szCs w:val="23"/>
        </w:rPr>
        <w:br/>
      </w:r>
    </w:p>
    <w:tbl>
      <w:tblPr>
        <w:tblW w:w="87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237"/>
      </w:tblGrid>
      <w:tr w:rsidR="00363272" w:rsidRPr="00363272" w:rsidTr="009A20AC">
        <w:trPr>
          <w:cantSplit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104年8月1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（請於上午8時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0分前至辦公室報到）</w:t>
            </w:r>
          </w:p>
        </w:tc>
      </w:tr>
      <w:tr w:rsidR="00363272" w:rsidRPr="00363272" w:rsidTr="009A20AC">
        <w:trPr>
          <w:cantSplit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 (星期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（請於上午8時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0分前至辦公室報到）</w:t>
            </w:r>
          </w:p>
        </w:tc>
      </w:tr>
      <w:tr w:rsidR="00363272" w:rsidRPr="00363272" w:rsidTr="009A20AC">
        <w:trPr>
          <w:cantSplit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363272" w:rsidRPr="00363272" w:rsidRDefault="00363272" w:rsidP="009A20AC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（請於上午8時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36327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0分前至辦公室報到）</w:t>
            </w:r>
          </w:p>
        </w:tc>
      </w:tr>
    </w:tbl>
    <w:p w:rsidR="00C22A1D" w:rsidRPr="00C22A1D" w:rsidRDefault="00561556" w:rsidP="0056550A">
      <w:pPr>
        <w:widowControl/>
        <w:spacing w:before="100" w:beforeAutospacing="1" w:after="100" w:afterAutospacing="1" w:line="380" w:lineRule="exact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FF0000"/>
          <w:kern w:val="0"/>
          <w:sz w:val="23"/>
          <w:szCs w:val="23"/>
        </w:rPr>
        <w:t>   </w:t>
      </w:r>
      <w:r w:rsidR="003F54F6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二、地點：本校教導處徐秋鐶主任或教務組林麗仙組長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  <w:r w:rsidR="003F54F6">
        <w:rPr>
          <w:rFonts w:ascii="標楷體" w:eastAsia="標楷體" w:hAnsi="標楷體" w:cs="Arial"/>
          <w:color w:val="000000"/>
          <w:kern w:val="0"/>
          <w:sz w:val="23"/>
          <w:szCs w:val="23"/>
        </w:rPr>
        <w:br/>
      </w:r>
      <w:r w:rsidR="0036327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 xml:space="preserve">       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電話：</w:t>
      </w:r>
      <w:r w:rsidR="003F54F6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06-5952344#202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</w:p>
    <w:p w:rsidR="00C22A1D" w:rsidRPr="00C22A1D" w:rsidRDefault="00561556" w:rsidP="009A20AC">
      <w:pPr>
        <w:widowControl/>
        <w:spacing w:before="100" w:beforeAutospacing="1" w:after="100" w:afterAutospacing="1" w:line="3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三、應繳交證件：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372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（一）「報名表」及「切結書」各一份。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47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（二）最近三個月內二吋半身脫帽相片1張，請貼於報名表。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372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（三）國民身分證正反面影本。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1318" w:hanging="84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（四）大學以上學歷證件。但持有國外學歷證件者，需另繳驗駐外單位驗證之中譯本學歷證明文件。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372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（五）甄選類科國民小學合格教師證書。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FF0000"/>
          <w:kern w:val="0"/>
          <w:sz w:val="23"/>
          <w:szCs w:val="23"/>
        </w:rPr>
        <w:t>    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四、方式：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8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親自報名（通信報名不予受理）。</w:t>
      </w:r>
    </w:p>
    <w:p w:rsidR="00C22A1D" w:rsidRPr="00C22A1D" w:rsidRDefault="00C22A1D" w:rsidP="009A20AC">
      <w:pPr>
        <w:widowControl/>
        <w:spacing w:before="100" w:beforeAutospacing="1" w:after="100" w:afterAutospacing="1" w:line="300" w:lineRule="exact"/>
        <w:ind w:left="510" w:hanging="51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伍、報名資格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FF0000"/>
          <w:kern w:val="0"/>
          <w:sz w:val="23"/>
          <w:szCs w:val="23"/>
        </w:rPr>
        <w:t>    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一、基本條件：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 （一）具中華民國國籍者（大陸地區人民來臺設有戶籍未滿10年者，不得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       參加甄選）。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 （二）無「教師法」第14條第1項各款之情事。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lastRenderedPageBreak/>
        <w:t>     （三）無「教育人員任用條例」第31條、第33條規定之情事。</w:t>
      </w:r>
    </w:p>
    <w:p w:rsidR="00C22A1D" w:rsidRPr="00C22A1D" w:rsidRDefault="00C22A1D" w:rsidP="009A20AC">
      <w:pPr>
        <w:widowControl/>
        <w:spacing w:before="100" w:beforeAutospacing="1" w:after="100" w:afterAutospacing="1" w:line="24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 （四）以不適任教師資遣或退休者不得報考。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二、資格條件：</w:t>
      </w:r>
    </w:p>
    <w:tbl>
      <w:tblPr>
        <w:tblW w:w="87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520"/>
      </w:tblGrid>
      <w:tr w:rsidR="00C22A1D" w:rsidRPr="00C22A1D" w:rsidTr="0075358F"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1.具有「各該教育階段、科(類)合格教師證書」資格者，或具教育部或臺南市政府核可之支援教師認證，尚在有效期間者。</w:t>
            </w:r>
          </w:p>
        </w:tc>
      </w:tr>
      <w:tr w:rsidR="00C22A1D" w:rsidRPr="00C22A1D" w:rsidTr="0075358F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ind w:left="24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1.具有「各該教育階段、科(類)合格教師證書」資格者，或具教育部或臺南市政府核可之支援教師認證，尚在有效期間者。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C22A1D" w:rsidRPr="00C22A1D" w:rsidTr="0075358F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240" w:lineRule="atLeast"/>
              <w:ind w:left="8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ind w:left="24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1.具有「各該教育階段、科(類)合格教師證書」資格者，或具教育部或臺南市政府核可之支援教師認證，尚在有效期間者。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2.或修畢師資職前教育課程，取得修畢證明書者。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3.或大學以上畢業者。</w:t>
            </w:r>
          </w:p>
        </w:tc>
      </w:tr>
    </w:tbl>
    <w:p w:rsidR="00C22A1D" w:rsidRPr="00C22A1D" w:rsidRDefault="00C22A1D" w:rsidP="00C22A1D">
      <w:pPr>
        <w:widowControl/>
        <w:spacing w:before="120" w:line="300" w:lineRule="atLeast"/>
        <w:ind w:left="512" w:hanging="512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陸、</w:t>
      </w:r>
      <w:r w:rsidRPr="00C22A1D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甄選日期及地點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一、日期：</w:t>
      </w:r>
    </w:p>
    <w:tbl>
      <w:tblPr>
        <w:tblW w:w="87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237"/>
      </w:tblGrid>
      <w:tr w:rsidR="00C22A1D" w:rsidRPr="00C22A1D" w:rsidTr="00803AB7">
        <w:trPr>
          <w:cantSplit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104年8月1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8: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時前至辦公室報到）</w:t>
            </w:r>
          </w:p>
        </w:tc>
      </w:tr>
      <w:tr w:rsidR="00C22A1D" w:rsidRPr="00C22A1D" w:rsidTr="00803AB7">
        <w:trPr>
          <w:cantSplit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 (星期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</w:t>
            </w:r>
            <w:r w:rsidR="00144ED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8: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E9696D"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至辦公室報到）</w:t>
            </w:r>
          </w:p>
        </w:tc>
      </w:tr>
      <w:tr w:rsidR="00C22A1D" w:rsidRPr="00C22A1D" w:rsidTr="00803AB7">
        <w:trPr>
          <w:cantSplit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）上午9時起</w:t>
            </w:r>
          </w:p>
          <w:p w:rsidR="00C22A1D" w:rsidRPr="00C22A1D" w:rsidRDefault="00C22A1D" w:rsidP="004B4E6A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8:</w:t>
            </w:r>
            <w:r w:rsidR="00EA44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E9696D"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至辦公室報到）</w:t>
            </w:r>
          </w:p>
        </w:tc>
      </w:tr>
    </w:tbl>
    <w:p w:rsidR="00C22A1D" w:rsidRPr="00C22A1D" w:rsidRDefault="00C22A1D" w:rsidP="00C22A1D">
      <w:pPr>
        <w:widowControl/>
        <w:spacing w:before="120" w:line="300" w:lineRule="atLeast"/>
        <w:ind w:left="991" w:hanging="99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</w:t>
      </w:r>
      <w:r w:rsidR="0036327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二、應試人員請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親自至本校辦公室報到，逾時不得進入試場。</w:t>
      </w:r>
    </w:p>
    <w:p w:rsidR="00C22A1D" w:rsidRPr="00144ED4" w:rsidRDefault="00C22A1D" w:rsidP="00C22A1D">
      <w:pPr>
        <w:widowControl/>
        <w:spacing w:before="100" w:beforeAutospacing="1" w:after="100" w:afterAutospacing="1" w:line="300" w:lineRule="atLeast"/>
        <w:ind w:left="510" w:hanging="510"/>
        <w:rPr>
          <w:rFonts w:ascii="Arial" w:eastAsia="新細明體" w:hAnsi="Arial" w:cs="Arial"/>
          <w:b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柒、</w:t>
      </w:r>
      <w:r w:rsidR="00144ED4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144ED4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甄選方式：</w:t>
      </w:r>
      <w:r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應徵人員經</w:t>
      </w:r>
      <w:r w:rsidR="00363272"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本校代課教師甄選委員會</w:t>
      </w:r>
      <w:r w:rsidR="00144ED4"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經</w:t>
      </w:r>
      <w:r w:rsidR="005363D4"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書面審核於甄選當日進行口試及試教(6-8分鐘)</w:t>
      </w:r>
      <w:r w:rsidR="00144ED4"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 xml:space="preserve"> 擇優錄取</w:t>
      </w:r>
      <w:r w:rsidRPr="00144E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後，將以電話通知任用並公告。錄取名單公告於本校網站，未獲錄取者，恕不另行通知；亦仍歡迎您成為本校短期代課人力資源；有意願成為本校短期代課人力資源者請註明許可時間。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510" w:hanging="51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lastRenderedPageBreak/>
        <w:t>捌、甄選結果公告、通知、成績複查及錄取報到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    一、甄選結果公告：</w:t>
      </w:r>
    </w:p>
    <w:tbl>
      <w:tblPr>
        <w:tblpPr w:leftFromText="165" w:rightFromText="165" w:topFromText="55" w:bottomFromText="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387"/>
      </w:tblGrid>
      <w:tr w:rsidR="00C22A1D" w:rsidRPr="00C22A1D" w:rsidTr="00C22A1D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4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）下午</w:t>
            </w:r>
            <w:r w:rsidR="00144E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時前公告在本校網站並通知錄(備)取人員。</w:t>
            </w:r>
          </w:p>
        </w:tc>
      </w:tr>
      <w:tr w:rsidR="00C22A1D" w:rsidRPr="00C22A1D" w:rsidTr="00C22A1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4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20日（星期四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）下午</w:t>
            </w:r>
            <w:r w:rsidR="00144E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時前公告在本校網站並通知錄(備)取人員。</w:t>
            </w:r>
          </w:p>
        </w:tc>
      </w:tr>
      <w:tr w:rsidR="00C22A1D" w:rsidRPr="00C22A1D" w:rsidTr="00C22A1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4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1D" w:rsidRPr="00C22A1D" w:rsidRDefault="00C22A1D" w:rsidP="00C22A1D">
            <w:pPr>
              <w:widowControl/>
              <w:spacing w:before="100" w:beforeAutospacing="1" w:after="100" w:afterAutospacing="1" w:line="3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104年8月2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E96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）下午</w:t>
            </w:r>
            <w:r w:rsidR="00144E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22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時前公告在本校網站並通知錄(備)取人員。</w:t>
            </w:r>
          </w:p>
        </w:tc>
      </w:tr>
    </w:tbl>
    <w:p w:rsidR="00C22A1D" w:rsidRPr="00C22A1D" w:rsidRDefault="00E9696D" w:rsidP="004B4E6A">
      <w:pPr>
        <w:widowControl/>
        <w:spacing w:before="120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二、錄取人員請於規定時間內至教導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處報到，第1次招考錄取人員時間於104年8月1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9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日中午12時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前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、經第2次招考錄取人員時間於104年8月2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1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日中午12時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前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、經第3次招考錄取人員時間於104年8月2</w:t>
      </w: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5</w:t>
      </w:r>
      <w:r w:rsidR="00C22A1D"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日中午12時前報到，如逾期未報到者，即予取消應聘資格，並由備取人員依序遞補，並依通知時間辦理報到，否則視同放棄。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玖、其他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48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一、如遇天然災害或不可抗力之因素，而致上述日期需作變更，悉於本校網站(http://</w:t>
      </w:r>
      <w:r w:rsidR="00363272">
        <w:rPr>
          <w:rFonts w:ascii="標楷體" w:eastAsia="標楷體" w:hAnsi="標楷體" w:cs="Arial"/>
          <w:color w:val="000000"/>
          <w:kern w:val="0"/>
          <w:sz w:val="23"/>
          <w:szCs w:val="23"/>
        </w:rPr>
        <w:t>bdes.dcs.tn.edu.tw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)首頁公告。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48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二、應考人之基本條件、報名資格，如於聘任後發現偽造不實者，應予解聘，尚未聘任者，註銷錄取資格，如涉及刑責，應由應考人自行負責。</w:t>
      </w:r>
    </w:p>
    <w:p w:rsidR="00C22A1D" w:rsidRPr="00C22A1D" w:rsidRDefault="00C22A1D" w:rsidP="00C22A1D">
      <w:pPr>
        <w:widowControl/>
        <w:spacing w:before="100" w:beforeAutospacing="1" w:after="100" w:afterAutospacing="1" w:line="300" w:lineRule="atLeast"/>
        <w:ind w:left="48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三、錄</w:t>
      </w:r>
      <w:r w:rsidRPr="00C22A1D">
        <w:rPr>
          <w:rFonts w:ascii="標楷體" w:eastAsia="標楷體" w:hAnsi="標楷體" w:cs="Arial" w:hint="eastAsia"/>
          <w:color w:val="000000"/>
          <w:spacing w:val="2"/>
          <w:kern w:val="0"/>
          <w:sz w:val="23"/>
          <w:szCs w:val="23"/>
        </w:rPr>
        <w:t>取聘任之代理教師於受聘期間，應享之權利與義務，</w:t>
      </w:r>
      <w:r w:rsidRPr="00C22A1D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則依教育部訂定發布之「中小學兼任代課及代理教師聘任辦法」第7條、第8條暨「臺南市中小學兼任代課及代理教師聘任補充規定」等相關規定辦理。</w:t>
      </w:r>
    </w:p>
    <w:p w:rsidR="00E63580" w:rsidRPr="00363272" w:rsidRDefault="00C22A1D" w:rsidP="00363272">
      <w:pPr>
        <w:widowControl/>
        <w:spacing w:before="100" w:beforeAutospacing="1" w:after="100" w:afterAutospacing="1"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22A1D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拾、本簡章如有未盡事宜，悉依有關法令規定辦理。</w:t>
      </w:r>
      <w:bookmarkEnd w:id="0"/>
    </w:p>
    <w:sectPr w:rsidR="00E63580" w:rsidRPr="00363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1C" w:rsidRDefault="0044331C" w:rsidP="00E9696D">
      <w:r>
        <w:separator/>
      </w:r>
    </w:p>
  </w:endnote>
  <w:endnote w:type="continuationSeparator" w:id="0">
    <w:p w:rsidR="0044331C" w:rsidRDefault="0044331C" w:rsidP="00E9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1C" w:rsidRDefault="0044331C" w:rsidP="00E9696D">
      <w:r>
        <w:separator/>
      </w:r>
    </w:p>
  </w:footnote>
  <w:footnote w:type="continuationSeparator" w:id="0">
    <w:p w:rsidR="0044331C" w:rsidRDefault="0044331C" w:rsidP="00E9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F5A62"/>
    <w:multiLevelType w:val="hybridMultilevel"/>
    <w:tmpl w:val="1EEA7E88"/>
    <w:lvl w:ilvl="0" w:tplc="4B3496DC">
      <w:start w:val="1"/>
      <w:numFmt w:val="taiwaneseCountingThousand"/>
      <w:lvlText w:val="(%1)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D"/>
    <w:rsid w:val="00075595"/>
    <w:rsid w:val="00090A7B"/>
    <w:rsid w:val="00144ED4"/>
    <w:rsid w:val="00363272"/>
    <w:rsid w:val="003E6360"/>
    <w:rsid w:val="003F54F6"/>
    <w:rsid w:val="0044331C"/>
    <w:rsid w:val="004B4E6A"/>
    <w:rsid w:val="005363D4"/>
    <w:rsid w:val="00561556"/>
    <w:rsid w:val="0056550A"/>
    <w:rsid w:val="0075358F"/>
    <w:rsid w:val="007C0FE0"/>
    <w:rsid w:val="00803AB7"/>
    <w:rsid w:val="009A20AC"/>
    <w:rsid w:val="009C2DDF"/>
    <w:rsid w:val="00C033C9"/>
    <w:rsid w:val="00C22A1D"/>
    <w:rsid w:val="00E63580"/>
    <w:rsid w:val="00E9696D"/>
    <w:rsid w:val="00EA44D3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37107-6D07-4EB9-856F-E1AABF99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69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6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6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dwtea96</dc:creator>
  <cp:keywords/>
  <dc:description/>
  <cp:lastModifiedBy>dwtea96</cp:lastModifiedBy>
  <cp:revision>12</cp:revision>
  <dcterms:created xsi:type="dcterms:W3CDTF">2015-08-12T08:02:00Z</dcterms:created>
  <dcterms:modified xsi:type="dcterms:W3CDTF">2015-08-12T09:03:00Z</dcterms:modified>
</cp:coreProperties>
</file>