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F37" w:rsidRDefault="00B758A3">
      <w:pPr>
        <w:pStyle w:val="a6"/>
        <w:jc w:val="center"/>
      </w:pPr>
      <w:bookmarkStart w:id="0" w:name="_GoBack"/>
      <w:bookmarkEnd w:id="0"/>
      <w:r>
        <w:rPr>
          <w:rFonts w:ascii="Times New Roman" w:eastAsia="標楷體" w:hAnsi="Times New Roman" w:cs="Times New Roman"/>
          <w:b/>
          <w:sz w:val="40"/>
          <w:szCs w:val="40"/>
        </w:rPr>
        <w:t>各級學校專任運動教練績效評量組織及審議準則修正條文</w:t>
      </w:r>
    </w:p>
    <w:p w:rsidR="00DF6F37" w:rsidRDefault="00DF6F37">
      <w:pPr>
        <w:pStyle w:val="a6"/>
        <w:rPr>
          <w:rFonts w:ascii="Times New Roman" w:eastAsia="標楷體" w:hAnsi="Times New Roman" w:cs="Times New Roman"/>
        </w:rPr>
      </w:pPr>
    </w:p>
    <w:p w:rsidR="00DF6F37" w:rsidRDefault="00B758A3">
      <w:pPr>
        <w:pStyle w:val="a6"/>
        <w:spacing w:line="460" w:lineRule="exact"/>
        <w:ind w:left="840" w:hanging="840"/>
        <w:jc w:val="both"/>
      </w:pPr>
      <w:r>
        <w:rPr>
          <w:rFonts w:ascii="Times New Roman" w:eastAsia="標楷體" w:hAnsi="Times New Roman" w:cs="Times New Roman"/>
          <w:sz w:val="28"/>
          <w:szCs w:val="28"/>
        </w:rPr>
        <w:t>第一條</w:t>
      </w:r>
      <w:r>
        <w:rPr>
          <w:rFonts w:ascii="新細明體" w:hAnsi="新細明體" w:cs="Times New Roman"/>
          <w:color w:val="FFFFFF"/>
          <w:sz w:val="28"/>
          <w:szCs w:val="28"/>
        </w:rPr>
        <w:t>□□</w:t>
      </w:r>
      <w:r>
        <w:rPr>
          <w:rFonts w:ascii="標楷體" w:eastAsia="標楷體" w:hAnsi="標楷體"/>
          <w:color w:val="000000"/>
          <w:sz w:val="28"/>
          <w:szCs w:val="28"/>
        </w:rPr>
        <w:t>本準則依國民體育法（以下簡稱本法）第十三條第七項規定訂定之。</w:t>
      </w:r>
    </w:p>
    <w:p w:rsidR="00DF6F37" w:rsidRDefault="00B758A3">
      <w:pPr>
        <w:pStyle w:val="a6"/>
        <w:spacing w:line="460" w:lineRule="exact"/>
        <w:ind w:left="840" w:hanging="840"/>
        <w:jc w:val="both"/>
      </w:pPr>
      <w:r>
        <w:rPr>
          <w:rFonts w:ascii="Times New Roman" w:eastAsia="標楷體" w:hAnsi="Times New Roman" w:cs="Times New Roman"/>
          <w:sz w:val="28"/>
          <w:szCs w:val="28"/>
        </w:rPr>
        <w:t>第二條</w:t>
      </w:r>
      <w:r>
        <w:rPr>
          <w:rFonts w:ascii="新細明體" w:hAnsi="新細明體" w:cs="Times New Roman"/>
          <w:color w:val="FFFFFF"/>
          <w:sz w:val="28"/>
          <w:szCs w:val="28"/>
        </w:rPr>
        <w:t>□□</w:t>
      </w:r>
      <w:r>
        <w:rPr>
          <w:rFonts w:ascii="標楷體" w:eastAsia="標楷體" w:hAnsi="標楷體"/>
          <w:color w:val="000000"/>
          <w:sz w:val="28"/>
          <w:szCs w:val="28"/>
        </w:rPr>
        <w:t>本法第十三條第七項所稱專任運動教練（以下簡稱教練）任用滿三年，指各級學校教練任用滿三個成績考核學年度。</w:t>
      </w:r>
    </w:p>
    <w:p w:rsidR="00DF6F37" w:rsidRDefault="00B758A3">
      <w:pPr>
        <w:pStyle w:val="a6"/>
        <w:spacing w:line="460" w:lineRule="exact"/>
        <w:ind w:left="840"/>
        <w:jc w:val="both"/>
      </w:pPr>
      <w:r>
        <w:rPr>
          <w:rFonts w:ascii="新細明體" w:hAnsi="新細明體" w:cs="Times New Roman"/>
          <w:color w:val="FFFFFF"/>
          <w:sz w:val="28"/>
          <w:szCs w:val="28"/>
        </w:rPr>
        <w:t>□□</w:t>
      </w:r>
      <w:r>
        <w:rPr>
          <w:rFonts w:ascii="標楷體" w:eastAsia="標楷體" w:hAnsi="標楷體"/>
          <w:color w:val="000000"/>
          <w:sz w:val="28"/>
          <w:szCs w:val="28"/>
        </w:rPr>
        <w:t>前項成績考核，不包括各級學校專任運動教練聘任管理辦法第十九條第一項所定之另予成績考核。</w:t>
      </w:r>
    </w:p>
    <w:p w:rsidR="00DF6F37" w:rsidRDefault="00B758A3">
      <w:pPr>
        <w:pStyle w:val="a6"/>
        <w:spacing w:line="460" w:lineRule="exact"/>
        <w:ind w:left="840"/>
        <w:jc w:val="both"/>
      </w:pPr>
      <w:r>
        <w:rPr>
          <w:rFonts w:ascii="新細明體" w:hAnsi="新細明體" w:cs="Times New Roman"/>
          <w:color w:val="FFFFFF"/>
          <w:sz w:val="28"/>
          <w:szCs w:val="28"/>
        </w:rPr>
        <w:t>□□</w:t>
      </w:r>
      <w:r>
        <w:rPr>
          <w:rFonts w:ascii="標楷體" w:eastAsia="標楷體" w:hAnsi="標楷體"/>
          <w:color w:val="000000"/>
          <w:sz w:val="28"/>
          <w:szCs w:val="28"/>
        </w:rPr>
        <w:t>第一項教練經轉換學校者，其成績考核學年度應合併計算。</w:t>
      </w:r>
    </w:p>
    <w:p w:rsidR="00DF6F37" w:rsidRDefault="00B758A3">
      <w:pPr>
        <w:pStyle w:val="a6"/>
        <w:spacing w:line="460" w:lineRule="exact"/>
        <w:ind w:left="840" w:hanging="840"/>
        <w:jc w:val="both"/>
      </w:pPr>
      <w:r>
        <w:rPr>
          <w:rFonts w:ascii="Times New Roman" w:eastAsia="標楷體" w:hAnsi="Times New Roman" w:cs="Times New Roman"/>
          <w:sz w:val="28"/>
          <w:szCs w:val="28"/>
        </w:rPr>
        <w:t>第三條</w:t>
      </w:r>
      <w:r>
        <w:rPr>
          <w:rFonts w:ascii="新細明體" w:hAnsi="新細明體" w:cs="Times New Roman"/>
          <w:color w:val="FFFFFF"/>
          <w:sz w:val="28"/>
          <w:szCs w:val="28"/>
        </w:rPr>
        <w:t>□□</w:t>
      </w:r>
      <w:r>
        <w:rPr>
          <w:rFonts w:ascii="標楷體" w:eastAsia="標楷體" w:hAnsi="標楷體"/>
          <w:color w:val="000000"/>
          <w:sz w:val="28"/>
          <w:szCs w:val="28"/>
        </w:rPr>
        <w:t>為辦理教練之績效評量，高級中等以下學校之學校主管機關及專科以上學校應設專任運動教練績效評量委員會（以下簡稱評委會）。</w:t>
      </w:r>
    </w:p>
    <w:p w:rsidR="00DF6F37" w:rsidRDefault="00B758A3">
      <w:pPr>
        <w:pStyle w:val="a6"/>
        <w:spacing w:line="460" w:lineRule="exact"/>
        <w:ind w:left="840"/>
        <w:jc w:val="both"/>
      </w:pPr>
      <w:r>
        <w:rPr>
          <w:rFonts w:ascii="新細明體" w:hAnsi="新細明體" w:cs="Times New Roman"/>
          <w:color w:val="FFFFFF"/>
          <w:sz w:val="28"/>
          <w:szCs w:val="28"/>
        </w:rPr>
        <w:t>□□</w:t>
      </w:r>
      <w:r>
        <w:rPr>
          <w:rFonts w:ascii="標楷體" w:eastAsia="標楷體" w:hAnsi="標楷體"/>
          <w:color w:val="000000"/>
          <w:sz w:val="28"/>
          <w:szCs w:val="28"/>
        </w:rPr>
        <w:t>教練轉換學校者，其績效評量由現任服務學校之該管評委會，依其規定辦理。</w:t>
      </w:r>
    </w:p>
    <w:p w:rsidR="00DF6F37" w:rsidRDefault="00B758A3">
      <w:pPr>
        <w:pStyle w:val="a6"/>
        <w:spacing w:line="460" w:lineRule="exact"/>
        <w:ind w:left="840" w:hanging="840"/>
        <w:jc w:val="both"/>
      </w:pPr>
      <w:r>
        <w:rPr>
          <w:rFonts w:ascii="Times New Roman" w:eastAsia="標楷體" w:hAnsi="Times New Roman" w:cs="Times New Roman"/>
          <w:sz w:val="28"/>
          <w:szCs w:val="28"/>
        </w:rPr>
        <w:t>第四條</w:t>
      </w:r>
      <w:r>
        <w:rPr>
          <w:rFonts w:ascii="新細明體" w:hAnsi="新細明體" w:cs="Times New Roman"/>
          <w:color w:val="FFFFFF"/>
          <w:sz w:val="28"/>
          <w:szCs w:val="28"/>
        </w:rPr>
        <w:t>□□</w:t>
      </w:r>
      <w:r>
        <w:rPr>
          <w:rFonts w:ascii="Times New Roman" w:eastAsia="標楷體" w:hAnsi="Times New Roman" w:cs="Times New Roman"/>
          <w:color w:val="000000"/>
          <w:sz w:val="28"/>
          <w:szCs w:val="28"/>
        </w:rPr>
        <w:t>評委會之任務如下：</w:t>
      </w:r>
    </w:p>
    <w:p w:rsidR="00DF6F37" w:rsidRDefault="00B758A3">
      <w:pPr>
        <w:pStyle w:val="a6"/>
        <w:spacing w:line="460" w:lineRule="exact"/>
        <w:ind w:left="2020" w:hanging="1120"/>
        <w:jc w:val="both"/>
      </w:pPr>
      <w:r>
        <w:rPr>
          <w:rFonts w:ascii="新細明體" w:hAnsi="新細明體" w:cs="Times New Roman"/>
          <w:color w:val="FFFFFF"/>
          <w:sz w:val="28"/>
          <w:szCs w:val="28"/>
        </w:rPr>
        <w:t>□□</w:t>
      </w:r>
      <w:r>
        <w:rPr>
          <w:rFonts w:ascii="Times New Roman" w:eastAsia="標楷體" w:hAnsi="Times New Roman" w:cs="Times New Roman"/>
          <w:sz w:val="28"/>
          <w:szCs w:val="28"/>
        </w:rPr>
        <w:t>一、</w:t>
      </w:r>
      <w:r>
        <w:rPr>
          <w:rFonts w:ascii="Times New Roman" w:eastAsia="標楷體" w:hAnsi="Times New Roman" w:cs="Times New Roman"/>
          <w:color w:val="000000"/>
          <w:sz w:val="28"/>
          <w:szCs w:val="28"/>
        </w:rPr>
        <w:t>訂定有關教練績效評量之作業程序。</w:t>
      </w:r>
    </w:p>
    <w:p w:rsidR="00DF6F37" w:rsidRDefault="00B758A3">
      <w:pPr>
        <w:pStyle w:val="a6"/>
        <w:spacing w:line="460" w:lineRule="exact"/>
        <w:ind w:left="2020" w:hanging="1120"/>
        <w:jc w:val="both"/>
      </w:pPr>
      <w:r>
        <w:rPr>
          <w:rFonts w:ascii="新細明體" w:hAnsi="新細明體" w:cs="Times New Roman"/>
          <w:color w:val="FFFFFF"/>
          <w:sz w:val="28"/>
          <w:szCs w:val="28"/>
        </w:rPr>
        <w:t>□□</w:t>
      </w:r>
      <w:r>
        <w:rPr>
          <w:rFonts w:ascii="Times New Roman" w:eastAsia="標楷體" w:hAnsi="Times New Roman" w:cs="Times New Roman"/>
          <w:sz w:val="28"/>
          <w:szCs w:val="28"/>
        </w:rPr>
        <w:t>二、</w:t>
      </w:r>
      <w:r>
        <w:rPr>
          <w:rFonts w:ascii="Times New Roman" w:eastAsia="標楷體" w:hAnsi="Times New Roman" w:cs="Times New Roman"/>
          <w:color w:val="000000"/>
          <w:sz w:val="28"/>
          <w:szCs w:val="28"/>
        </w:rPr>
        <w:t>依本準則擬訂有關教練績效評量之基準。</w:t>
      </w:r>
    </w:p>
    <w:p w:rsidR="00DF6F37" w:rsidRDefault="00B758A3">
      <w:pPr>
        <w:pStyle w:val="a6"/>
        <w:spacing w:line="460" w:lineRule="exact"/>
        <w:ind w:left="2020" w:hanging="1120"/>
        <w:jc w:val="both"/>
      </w:pPr>
      <w:r>
        <w:rPr>
          <w:rFonts w:ascii="新細明體" w:hAnsi="新細明體" w:cs="Times New Roman"/>
          <w:color w:val="FFFFFF"/>
          <w:sz w:val="28"/>
          <w:szCs w:val="28"/>
        </w:rPr>
        <w:t>□□</w:t>
      </w:r>
      <w:r>
        <w:rPr>
          <w:rFonts w:ascii="Times New Roman" w:eastAsia="標楷體" w:hAnsi="Times New Roman" w:cs="Times New Roman"/>
          <w:sz w:val="28"/>
          <w:szCs w:val="28"/>
        </w:rPr>
        <w:t>三、</w:t>
      </w:r>
      <w:r>
        <w:rPr>
          <w:rFonts w:ascii="Times New Roman" w:eastAsia="標楷體" w:hAnsi="Times New Roman" w:cs="Times New Roman"/>
          <w:color w:val="000000"/>
          <w:sz w:val="28"/>
          <w:szCs w:val="28"/>
        </w:rPr>
        <w:t>評量有關教練之訓練、指導、專項運動推廣績效及服務成績。</w:t>
      </w:r>
    </w:p>
    <w:p w:rsidR="00DF6F37" w:rsidRDefault="00B758A3">
      <w:pPr>
        <w:pStyle w:val="a6"/>
        <w:spacing w:line="460" w:lineRule="exact"/>
        <w:ind w:left="2020" w:hanging="1120"/>
        <w:jc w:val="both"/>
      </w:pPr>
      <w:r>
        <w:rPr>
          <w:rFonts w:ascii="新細明體" w:hAnsi="新細明體" w:cs="Times New Roman"/>
          <w:color w:val="FFFFFF"/>
          <w:sz w:val="28"/>
          <w:szCs w:val="28"/>
        </w:rPr>
        <w:t>□□</w:t>
      </w:r>
      <w:r>
        <w:rPr>
          <w:rFonts w:ascii="Times New Roman" w:eastAsia="標楷體" w:hAnsi="Times New Roman" w:cs="Times New Roman"/>
          <w:sz w:val="28"/>
          <w:szCs w:val="28"/>
        </w:rPr>
        <w:t>四、</w:t>
      </w:r>
      <w:r>
        <w:rPr>
          <w:rFonts w:ascii="Times New Roman" w:eastAsia="標楷體" w:hAnsi="Times New Roman" w:cs="Times New Roman"/>
          <w:color w:val="000000"/>
          <w:sz w:val="28"/>
          <w:szCs w:val="28"/>
        </w:rPr>
        <w:t>其他有關教練評量事項之審議。</w:t>
      </w:r>
    </w:p>
    <w:p w:rsidR="00DF6F37" w:rsidRDefault="00B758A3">
      <w:pPr>
        <w:pStyle w:val="a6"/>
        <w:spacing w:line="460" w:lineRule="exact"/>
        <w:ind w:left="840" w:hanging="840"/>
        <w:jc w:val="both"/>
      </w:pPr>
      <w:r>
        <w:rPr>
          <w:rFonts w:ascii="Times New Roman" w:eastAsia="標楷體" w:hAnsi="Times New Roman" w:cs="Times New Roman"/>
          <w:sz w:val="28"/>
          <w:szCs w:val="28"/>
        </w:rPr>
        <w:t>第五條</w:t>
      </w:r>
      <w:r>
        <w:rPr>
          <w:rFonts w:ascii="新細明體" w:hAnsi="新細明體" w:cs="Times New Roman"/>
          <w:color w:val="FFFFFF"/>
          <w:sz w:val="28"/>
          <w:szCs w:val="28"/>
        </w:rPr>
        <w:t>□□</w:t>
      </w:r>
      <w:r>
        <w:rPr>
          <w:rFonts w:ascii="標楷體" w:eastAsia="標楷體" w:hAnsi="標楷體"/>
          <w:color w:val="000000"/>
          <w:sz w:val="28"/>
          <w:szCs w:val="28"/>
        </w:rPr>
        <w:t>評委會置委員十</w:t>
      </w:r>
      <w:r>
        <w:rPr>
          <w:rFonts w:ascii="Times New Roman" w:eastAsia="標楷體" w:hAnsi="Times New Roman" w:cs="Times New Roman"/>
          <w:color w:val="000000"/>
          <w:sz w:val="28"/>
          <w:szCs w:val="28"/>
        </w:rPr>
        <w:t>一人至十五人，其中一人為召集人，由學校主管機關首長或專科以上學校校長，或其指定之人員擔任之；其餘委員，由召集人就具有體育專長及相關實務或學術經驗之專家學者及社會公正人士聘</w:t>
      </w:r>
      <w:r>
        <w:rPr>
          <w:rFonts w:ascii="標楷體" w:eastAsia="標楷體" w:hAnsi="標楷體" w:cs="Times New Roman"/>
          <w:color w:val="000000"/>
          <w:sz w:val="28"/>
          <w:szCs w:val="28"/>
        </w:rPr>
        <w:t>（派）兼之</w:t>
      </w:r>
      <w:r>
        <w:rPr>
          <w:rFonts w:ascii="新細明體" w:hAnsi="新細明體" w:cs="Times New Roman"/>
          <w:color w:val="000000"/>
          <w:sz w:val="28"/>
          <w:szCs w:val="28"/>
        </w:rPr>
        <w:t>；</w:t>
      </w:r>
      <w:r>
        <w:rPr>
          <w:rFonts w:ascii="標楷體" w:eastAsia="標楷體" w:hAnsi="標楷體" w:cs="Times New Roman"/>
          <w:color w:val="000000"/>
          <w:sz w:val="28"/>
          <w:szCs w:val="28"/>
        </w:rPr>
        <w:t>任一性別委員人數應占委員總數三分之一以上</w:t>
      </w:r>
      <w:r>
        <w:rPr>
          <w:rFonts w:ascii="標楷體" w:eastAsia="標楷體" w:hAnsi="標楷體"/>
          <w:color w:val="000000"/>
          <w:sz w:val="28"/>
          <w:szCs w:val="28"/>
        </w:rPr>
        <w:t>。</w:t>
      </w:r>
    </w:p>
    <w:p w:rsidR="00DF6F37" w:rsidRDefault="00B758A3">
      <w:pPr>
        <w:pStyle w:val="a6"/>
        <w:spacing w:line="460" w:lineRule="exact"/>
        <w:ind w:left="840"/>
        <w:jc w:val="both"/>
      </w:pPr>
      <w:r>
        <w:rPr>
          <w:rFonts w:ascii="新細明體" w:hAnsi="新細明體" w:cs="Times New Roman"/>
          <w:color w:val="FFFFFF"/>
          <w:sz w:val="28"/>
          <w:szCs w:val="28"/>
        </w:rPr>
        <w:t>□□</w:t>
      </w:r>
      <w:r>
        <w:rPr>
          <w:rFonts w:ascii="Times New Roman" w:eastAsia="標楷體" w:hAnsi="Times New Roman" w:cs="Times New Roman"/>
          <w:color w:val="000000"/>
          <w:sz w:val="28"/>
          <w:szCs w:val="28"/>
        </w:rPr>
        <w:t>前項委員任期三年，期滿得續聘之；委員於聘任期間出缺時，應予補聘，其任期至</w:t>
      </w:r>
      <w:r>
        <w:rPr>
          <w:rFonts w:ascii="標楷體" w:eastAsia="標楷體" w:hAnsi="標楷體"/>
          <w:color w:val="000000"/>
          <w:sz w:val="28"/>
          <w:szCs w:val="28"/>
        </w:rPr>
        <w:t>原任期屆滿日為止。</w:t>
      </w:r>
    </w:p>
    <w:p w:rsidR="00DF6F37" w:rsidRDefault="00B758A3">
      <w:pPr>
        <w:pStyle w:val="a6"/>
        <w:spacing w:line="460" w:lineRule="exact"/>
        <w:ind w:left="840" w:hanging="840"/>
        <w:jc w:val="both"/>
      </w:pPr>
      <w:r>
        <w:rPr>
          <w:rFonts w:ascii="Times New Roman" w:eastAsia="標楷體" w:hAnsi="Times New Roman" w:cs="Times New Roman"/>
          <w:sz w:val="28"/>
          <w:szCs w:val="28"/>
        </w:rPr>
        <w:t>第六條</w:t>
      </w:r>
      <w:r>
        <w:rPr>
          <w:rFonts w:ascii="新細明體" w:hAnsi="新細明體" w:cs="Times New Roman"/>
          <w:color w:val="FFFFFF"/>
          <w:sz w:val="28"/>
          <w:szCs w:val="28"/>
        </w:rPr>
        <w:t>□□</w:t>
      </w:r>
      <w:r>
        <w:rPr>
          <w:rFonts w:ascii="標楷體" w:eastAsia="標楷體" w:hAnsi="標楷體"/>
          <w:color w:val="000000"/>
          <w:sz w:val="28"/>
          <w:szCs w:val="28"/>
        </w:rPr>
        <w:t>評委會每學期至少應召開會議一次。</w:t>
      </w:r>
    </w:p>
    <w:p w:rsidR="00DF6F37" w:rsidRDefault="00B758A3">
      <w:pPr>
        <w:pStyle w:val="a6"/>
        <w:spacing w:line="460" w:lineRule="exact"/>
        <w:ind w:left="840"/>
        <w:jc w:val="both"/>
      </w:pPr>
      <w:r>
        <w:rPr>
          <w:rFonts w:ascii="新細明體" w:hAnsi="新細明體" w:cs="Times New Roman"/>
          <w:color w:val="FFFFFF"/>
          <w:sz w:val="28"/>
          <w:szCs w:val="28"/>
        </w:rPr>
        <w:t>□□</w:t>
      </w:r>
      <w:r>
        <w:rPr>
          <w:rFonts w:ascii="標楷體" w:eastAsia="標楷體" w:hAnsi="標楷體"/>
          <w:color w:val="000000"/>
          <w:sz w:val="28"/>
          <w:szCs w:val="28"/>
        </w:rPr>
        <w:t>前項會議，由召集人擔任主席；召集人因故不能出席時，應</w:t>
      </w:r>
      <w:r>
        <w:rPr>
          <w:rFonts w:ascii="標楷體" w:eastAsia="標楷體" w:hAnsi="標楷體"/>
          <w:color w:val="000000"/>
          <w:sz w:val="28"/>
          <w:szCs w:val="28"/>
        </w:rPr>
        <w:lastRenderedPageBreak/>
        <w:t>指定委員一人代理之。</w:t>
      </w:r>
    </w:p>
    <w:p w:rsidR="00DF6F37" w:rsidRDefault="00B758A3">
      <w:pPr>
        <w:pStyle w:val="a6"/>
        <w:spacing w:line="460" w:lineRule="exact"/>
        <w:ind w:left="840" w:hanging="840"/>
        <w:jc w:val="both"/>
      </w:pPr>
      <w:r>
        <w:rPr>
          <w:rFonts w:ascii="Times New Roman" w:eastAsia="標楷體" w:hAnsi="Times New Roman" w:cs="Times New Roman"/>
          <w:sz w:val="28"/>
          <w:szCs w:val="28"/>
        </w:rPr>
        <w:t>第七條</w:t>
      </w:r>
      <w:r>
        <w:rPr>
          <w:rFonts w:ascii="新細明體" w:hAnsi="新細明體" w:cs="Times New Roman"/>
          <w:color w:val="FFFFFF"/>
          <w:sz w:val="28"/>
          <w:szCs w:val="28"/>
        </w:rPr>
        <w:t>□□</w:t>
      </w:r>
      <w:r>
        <w:rPr>
          <w:rFonts w:ascii="標楷體" w:eastAsia="標楷體" w:hAnsi="標楷體"/>
          <w:color w:val="000000"/>
          <w:sz w:val="28"/>
          <w:szCs w:val="28"/>
        </w:rPr>
        <w:t>評委會會議應有全體委員二分之一以上出席，始得開議；出席委員過半數之同意，始得決議。但教練績效評量服務成績之決議，應有全體委員三分之二以上之出席及出席委員過半數之同意。</w:t>
      </w:r>
    </w:p>
    <w:p w:rsidR="00DF6F37" w:rsidRDefault="00B758A3">
      <w:pPr>
        <w:pStyle w:val="a6"/>
        <w:spacing w:line="460" w:lineRule="exact"/>
        <w:ind w:left="840"/>
        <w:jc w:val="both"/>
      </w:pPr>
      <w:r>
        <w:rPr>
          <w:rFonts w:ascii="新細明體" w:hAnsi="新細明體" w:cs="Times New Roman"/>
          <w:color w:val="FFFFFF"/>
          <w:sz w:val="28"/>
          <w:szCs w:val="28"/>
        </w:rPr>
        <w:t>□□</w:t>
      </w:r>
      <w:r>
        <w:rPr>
          <w:rFonts w:ascii="標楷體" w:eastAsia="標楷體" w:hAnsi="標楷體"/>
          <w:color w:val="000000"/>
          <w:sz w:val="28"/>
          <w:szCs w:val="28"/>
        </w:rPr>
        <w:t>評委會開會時，委員應親自出席，不得代理。</w:t>
      </w:r>
    </w:p>
    <w:p w:rsidR="00DF6F37" w:rsidRDefault="00B758A3">
      <w:pPr>
        <w:pStyle w:val="a6"/>
        <w:spacing w:line="460" w:lineRule="exact"/>
        <w:ind w:left="840"/>
        <w:jc w:val="both"/>
      </w:pPr>
      <w:r>
        <w:rPr>
          <w:rFonts w:ascii="新細明體" w:hAnsi="新細明體" w:cs="Times New Roman"/>
          <w:color w:val="FFFFFF"/>
          <w:sz w:val="28"/>
          <w:szCs w:val="28"/>
        </w:rPr>
        <w:t>□□</w:t>
      </w:r>
      <w:r>
        <w:rPr>
          <w:rFonts w:ascii="標楷體" w:eastAsia="標楷體" w:hAnsi="標楷體"/>
          <w:color w:val="000000"/>
          <w:sz w:val="28"/>
          <w:szCs w:val="28"/>
        </w:rPr>
        <w:t>評委會為第一項決議時，依第九條規定應迴避之委員不計入出席委員人數。</w:t>
      </w:r>
    </w:p>
    <w:p w:rsidR="00DF6F37" w:rsidRDefault="00B758A3">
      <w:pPr>
        <w:pStyle w:val="a6"/>
        <w:spacing w:line="460" w:lineRule="exact"/>
        <w:ind w:left="840" w:hanging="840"/>
        <w:jc w:val="both"/>
      </w:pPr>
      <w:r>
        <w:rPr>
          <w:rFonts w:ascii="Times New Roman" w:eastAsia="標楷體" w:hAnsi="Times New Roman" w:cs="Times New Roman"/>
          <w:sz w:val="28"/>
          <w:szCs w:val="28"/>
        </w:rPr>
        <w:t>第八條</w:t>
      </w:r>
      <w:r>
        <w:rPr>
          <w:rFonts w:ascii="新細明體" w:hAnsi="新細明體" w:cs="Times New Roman"/>
          <w:color w:val="FFFFFF"/>
          <w:sz w:val="28"/>
          <w:szCs w:val="28"/>
        </w:rPr>
        <w:t>□□</w:t>
      </w:r>
      <w:r>
        <w:rPr>
          <w:rFonts w:ascii="標楷體" w:eastAsia="標楷體" w:hAnsi="標楷體"/>
          <w:color w:val="000000"/>
          <w:sz w:val="28"/>
          <w:szCs w:val="28"/>
        </w:rPr>
        <w:t>評委會進行審議時，得邀請受評量教練、關係人、學者專家、受評量人服務學校或有關機關指派人員到會說明。</w:t>
      </w:r>
    </w:p>
    <w:p w:rsidR="00DF6F37" w:rsidRDefault="00B758A3">
      <w:pPr>
        <w:pStyle w:val="a6"/>
        <w:spacing w:line="460" w:lineRule="exact"/>
        <w:ind w:left="840"/>
        <w:jc w:val="both"/>
      </w:pPr>
      <w:r>
        <w:rPr>
          <w:rFonts w:ascii="新細明體" w:hAnsi="新細明體" w:cs="Times New Roman"/>
          <w:color w:val="FFFFFF"/>
          <w:sz w:val="28"/>
          <w:szCs w:val="28"/>
        </w:rPr>
        <w:t>□□</w:t>
      </w:r>
      <w:r>
        <w:rPr>
          <w:rFonts w:ascii="標楷體" w:eastAsia="標楷體" w:hAnsi="標楷體"/>
          <w:color w:val="000000"/>
          <w:sz w:val="28"/>
          <w:szCs w:val="28"/>
        </w:rPr>
        <w:t>績效評量案件有實地瞭解之必要時，得經評委會決議，推派委員三人以上進行現場訪視後，於會議時提出報告。</w:t>
      </w:r>
    </w:p>
    <w:p w:rsidR="00DF6F37" w:rsidRDefault="00B758A3">
      <w:pPr>
        <w:pStyle w:val="a6"/>
        <w:spacing w:line="460" w:lineRule="exact"/>
        <w:ind w:left="840"/>
        <w:jc w:val="both"/>
      </w:pPr>
      <w:r>
        <w:rPr>
          <w:rFonts w:ascii="新細明體" w:hAnsi="新細明體" w:cs="Times New Roman"/>
          <w:color w:val="FFFFFF"/>
          <w:sz w:val="28"/>
          <w:szCs w:val="28"/>
        </w:rPr>
        <w:t>□□</w:t>
      </w:r>
      <w:r>
        <w:rPr>
          <w:rFonts w:ascii="標楷體" w:eastAsia="標楷體" w:hAnsi="標楷體"/>
          <w:color w:val="000000"/>
          <w:sz w:val="28"/>
          <w:szCs w:val="28"/>
        </w:rPr>
        <w:t>評委會為教練績效評量服務成績不通過之決議前，應給予當事人陳述意見之機會。</w:t>
      </w:r>
    </w:p>
    <w:p w:rsidR="00DF6F37" w:rsidRDefault="00B758A3">
      <w:pPr>
        <w:pStyle w:val="a6"/>
        <w:spacing w:line="460" w:lineRule="exact"/>
        <w:ind w:left="840" w:hanging="840"/>
        <w:jc w:val="both"/>
      </w:pPr>
      <w:r>
        <w:rPr>
          <w:rFonts w:ascii="Times New Roman" w:eastAsia="標楷體" w:hAnsi="Times New Roman" w:cs="Times New Roman"/>
          <w:sz w:val="28"/>
          <w:szCs w:val="28"/>
        </w:rPr>
        <w:t>第九條</w:t>
      </w:r>
      <w:r>
        <w:rPr>
          <w:rFonts w:ascii="新細明體" w:hAnsi="新細明體" w:cs="Times New Roman"/>
          <w:color w:val="FFFFFF"/>
          <w:sz w:val="28"/>
          <w:szCs w:val="28"/>
        </w:rPr>
        <w:t>□□</w:t>
      </w:r>
      <w:r>
        <w:rPr>
          <w:rFonts w:ascii="標楷體" w:eastAsia="標楷體" w:hAnsi="標楷體"/>
          <w:color w:val="000000"/>
          <w:sz w:val="28"/>
          <w:szCs w:val="28"/>
        </w:rPr>
        <w:t>評委會委員之迴避，適用行政程序法第三十二條及第三十三條規定，並不得與受評量教練及利害關係人為程序外之接觸。</w:t>
      </w:r>
    </w:p>
    <w:p w:rsidR="00DF6F37" w:rsidRDefault="00B758A3">
      <w:pPr>
        <w:pStyle w:val="a6"/>
        <w:spacing w:line="460" w:lineRule="exact"/>
        <w:ind w:left="840"/>
        <w:jc w:val="both"/>
      </w:pPr>
      <w:r>
        <w:rPr>
          <w:rFonts w:ascii="新細明體" w:hAnsi="新細明體" w:cs="Times New Roman"/>
          <w:color w:val="FFFFFF"/>
          <w:sz w:val="28"/>
          <w:szCs w:val="28"/>
        </w:rPr>
        <w:t>□□</w:t>
      </w:r>
      <w:r>
        <w:rPr>
          <w:rFonts w:ascii="標楷體" w:eastAsia="標楷體" w:hAnsi="標楷體"/>
          <w:color w:val="000000"/>
          <w:sz w:val="28"/>
          <w:szCs w:val="28"/>
        </w:rPr>
        <w:t>評委會委員對評量事件之審議及相關事項，應予保密。</w:t>
      </w:r>
    </w:p>
    <w:p w:rsidR="00DF6F37" w:rsidRDefault="00B758A3">
      <w:pPr>
        <w:pStyle w:val="a6"/>
        <w:spacing w:line="460" w:lineRule="exact"/>
        <w:ind w:left="840" w:hanging="840"/>
        <w:jc w:val="both"/>
      </w:pPr>
      <w:r>
        <w:rPr>
          <w:rFonts w:ascii="Times New Roman" w:eastAsia="標楷體" w:hAnsi="Times New Roman" w:cs="Times New Roman"/>
          <w:sz w:val="28"/>
          <w:szCs w:val="28"/>
        </w:rPr>
        <w:t>第十條</w:t>
      </w:r>
      <w:r>
        <w:rPr>
          <w:rFonts w:ascii="新細明體" w:hAnsi="新細明體" w:cs="Times New Roman"/>
          <w:color w:val="FFFFFF"/>
          <w:sz w:val="28"/>
          <w:szCs w:val="28"/>
        </w:rPr>
        <w:t>□□</w:t>
      </w:r>
      <w:r>
        <w:rPr>
          <w:rFonts w:ascii="Times New Roman" w:eastAsia="標楷體" w:hAnsi="Times New Roman" w:cs="Times New Roman"/>
          <w:color w:val="000000"/>
          <w:sz w:val="28"/>
          <w:szCs w:val="28"/>
        </w:rPr>
        <w:t>評委會應依</w:t>
      </w:r>
      <w:r>
        <w:rPr>
          <w:rFonts w:ascii="標楷體" w:eastAsia="標楷體" w:hAnsi="標楷體"/>
          <w:color w:val="000000"/>
          <w:sz w:val="28"/>
          <w:szCs w:val="28"/>
        </w:rPr>
        <w:t>學校教育階段之訓練目標、運動種類項目，及運動團隊之發展條件等因素</w:t>
      </w:r>
      <w:r>
        <w:rPr>
          <w:rFonts w:ascii="Times New Roman" w:eastAsia="標楷體" w:hAnsi="Times New Roman" w:cs="Times New Roman"/>
          <w:color w:val="000000"/>
          <w:sz w:val="28"/>
          <w:szCs w:val="28"/>
        </w:rPr>
        <w:t>，擬訂教練績效評量基準；其評量類</w:t>
      </w:r>
      <w:r>
        <w:rPr>
          <w:rFonts w:ascii="標楷體" w:eastAsia="標楷體" w:hAnsi="標楷體"/>
          <w:color w:val="000000"/>
          <w:sz w:val="28"/>
          <w:szCs w:val="28"/>
        </w:rPr>
        <w:t>別及配分比率，規定如下</w:t>
      </w:r>
      <w:r>
        <w:rPr>
          <w:rFonts w:ascii="Times New Roman" w:eastAsia="標楷體" w:hAnsi="Times New Roman" w:cs="Times New Roman"/>
          <w:sz w:val="28"/>
          <w:szCs w:val="28"/>
        </w:rPr>
        <w:t>：</w:t>
      </w:r>
    </w:p>
    <w:p w:rsidR="00DF6F37" w:rsidRDefault="00B758A3">
      <w:pPr>
        <w:pStyle w:val="a6"/>
        <w:spacing w:line="460" w:lineRule="exact"/>
        <w:ind w:left="1418"/>
        <w:jc w:val="both"/>
      </w:pPr>
      <w:r>
        <w:rPr>
          <w:rFonts w:ascii="Times New Roman" w:eastAsia="標楷體" w:hAnsi="Times New Roman" w:cs="Times New Roman"/>
          <w:sz w:val="28"/>
          <w:szCs w:val="28"/>
        </w:rPr>
        <w:t>一、</w:t>
      </w:r>
      <w:r>
        <w:rPr>
          <w:rFonts w:ascii="標楷體" w:eastAsia="標楷體" w:hAnsi="標楷體"/>
          <w:color w:val="000000"/>
          <w:sz w:val="28"/>
          <w:szCs w:val="28"/>
        </w:rPr>
        <w:t>訓練指導績效：</w:t>
      </w:r>
    </w:p>
    <w:p w:rsidR="00DF6F37" w:rsidRDefault="00B758A3">
      <w:pPr>
        <w:pStyle w:val="a6"/>
        <w:spacing w:line="460" w:lineRule="exact"/>
        <w:ind w:left="1843"/>
        <w:jc w:val="both"/>
      </w:pPr>
      <w:r>
        <w:rPr>
          <w:rFonts w:ascii="標楷體" w:eastAsia="標楷體" w:hAnsi="標楷體" w:cs="Times New Roman"/>
          <w:sz w:val="28"/>
          <w:szCs w:val="28"/>
        </w:rPr>
        <w:t>（一）國民小學</w:t>
      </w:r>
      <w:r>
        <w:rPr>
          <w:rFonts w:ascii="新細明體" w:hAnsi="新細明體" w:cs="Times New Roman"/>
          <w:sz w:val="28"/>
          <w:szCs w:val="28"/>
        </w:rPr>
        <w:t>：</w:t>
      </w:r>
      <w:r>
        <w:rPr>
          <w:rFonts w:ascii="標楷體" w:eastAsia="標楷體" w:hAnsi="標楷體" w:cs="Times New Roman"/>
          <w:sz w:val="28"/>
          <w:szCs w:val="28"/>
        </w:rPr>
        <w:t>百分之三十五。</w:t>
      </w:r>
    </w:p>
    <w:p w:rsidR="00DF6F37" w:rsidRDefault="00B758A3">
      <w:pPr>
        <w:pStyle w:val="a6"/>
        <w:spacing w:line="460" w:lineRule="exact"/>
        <w:ind w:left="1843"/>
        <w:jc w:val="both"/>
      </w:pPr>
      <w:r>
        <w:rPr>
          <w:rFonts w:ascii="標楷體" w:eastAsia="標楷體" w:hAnsi="標楷體" w:cs="Times New Roman"/>
          <w:sz w:val="28"/>
          <w:szCs w:val="28"/>
        </w:rPr>
        <w:t>（二）國民中學</w:t>
      </w:r>
      <w:r>
        <w:rPr>
          <w:rFonts w:ascii="新細明體" w:hAnsi="新細明體" w:cs="Times New Roman"/>
          <w:sz w:val="28"/>
          <w:szCs w:val="28"/>
        </w:rPr>
        <w:t>：</w:t>
      </w:r>
      <w:r>
        <w:rPr>
          <w:rFonts w:ascii="標楷體" w:eastAsia="標楷體" w:hAnsi="標楷體" w:cs="Times New Roman"/>
          <w:sz w:val="28"/>
          <w:szCs w:val="28"/>
        </w:rPr>
        <w:t>百分之五十。</w:t>
      </w:r>
    </w:p>
    <w:p w:rsidR="00DF6F37" w:rsidRDefault="00B758A3">
      <w:pPr>
        <w:pStyle w:val="a6"/>
        <w:spacing w:line="460" w:lineRule="exact"/>
        <w:ind w:left="1843"/>
        <w:jc w:val="both"/>
      </w:pPr>
      <w:r>
        <w:rPr>
          <w:rFonts w:ascii="標楷體" w:eastAsia="標楷體" w:hAnsi="標楷體" w:cs="Times New Roman"/>
          <w:sz w:val="28"/>
          <w:szCs w:val="28"/>
        </w:rPr>
        <w:t>（三）高級中等以上學校</w:t>
      </w:r>
      <w:r>
        <w:rPr>
          <w:rFonts w:ascii="新細明體" w:hAnsi="新細明體" w:cs="Times New Roman"/>
          <w:sz w:val="28"/>
          <w:szCs w:val="28"/>
        </w:rPr>
        <w:t>：</w:t>
      </w:r>
      <w:r>
        <w:rPr>
          <w:rFonts w:ascii="標楷體" w:eastAsia="標楷體" w:hAnsi="標楷體" w:cs="Times New Roman"/>
          <w:sz w:val="28"/>
          <w:szCs w:val="28"/>
        </w:rPr>
        <w:t>百分之六十五。</w:t>
      </w:r>
    </w:p>
    <w:p w:rsidR="00DF6F37" w:rsidRDefault="00B758A3">
      <w:pPr>
        <w:pStyle w:val="a6"/>
        <w:spacing w:line="460" w:lineRule="exact"/>
        <w:ind w:left="1418"/>
        <w:jc w:val="both"/>
      </w:pPr>
      <w:r>
        <w:rPr>
          <w:rFonts w:ascii="Times New Roman" w:eastAsia="標楷體" w:hAnsi="Times New Roman" w:cs="Times New Roman"/>
          <w:sz w:val="28"/>
          <w:szCs w:val="28"/>
        </w:rPr>
        <w:t>二、</w:t>
      </w:r>
      <w:r>
        <w:rPr>
          <w:rFonts w:ascii="標楷體" w:eastAsia="標楷體" w:hAnsi="標楷體"/>
          <w:color w:val="000000"/>
          <w:sz w:val="28"/>
          <w:szCs w:val="28"/>
        </w:rPr>
        <w:t>專項運動推廣績效：</w:t>
      </w:r>
    </w:p>
    <w:p w:rsidR="00DF6F37" w:rsidRDefault="00B758A3">
      <w:pPr>
        <w:pStyle w:val="a6"/>
        <w:spacing w:line="460" w:lineRule="exact"/>
        <w:ind w:left="1843"/>
        <w:jc w:val="both"/>
      </w:pPr>
      <w:r>
        <w:rPr>
          <w:rFonts w:ascii="標楷體" w:eastAsia="標楷體" w:hAnsi="標楷體" w:cs="Times New Roman"/>
          <w:sz w:val="28"/>
          <w:szCs w:val="28"/>
        </w:rPr>
        <w:t>（一）國民小學</w:t>
      </w:r>
      <w:r>
        <w:rPr>
          <w:rFonts w:ascii="新細明體" w:hAnsi="新細明體" w:cs="Times New Roman"/>
          <w:sz w:val="28"/>
          <w:szCs w:val="28"/>
        </w:rPr>
        <w:t>：</w:t>
      </w:r>
      <w:r>
        <w:rPr>
          <w:rFonts w:ascii="標楷體" w:eastAsia="標楷體" w:hAnsi="標楷體" w:cs="Times New Roman"/>
          <w:sz w:val="28"/>
          <w:szCs w:val="28"/>
        </w:rPr>
        <w:t>百分之五十。</w:t>
      </w:r>
    </w:p>
    <w:p w:rsidR="00DF6F37" w:rsidRDefault="00B758A3">
      <w:pPr>
        <w:pStyle w:val="a6"/>
        <w:spacing w:line="460" w:lineRule="exact"/>
        <w:ind w:left="1843"/>
        <w:jc w:val="both"/>
      </w:pPr>
      <w:r>
        <w:rPr>
          <w:rFonts w:ascii="標楷體" w:eastAsia="標楷體" w:hAnsi="標楷體" w:cs="Times New Roman"/>
          <w:sz w:val="28"/>
          <w:szCs w:val="28"/>
        </w:rPr>
        <w:t>（二）國民中學</w:t>
      </w:r>
      <w:r>
        <w:rPr>
          <w:rFonts w:ascii="新細明體" w:hAnsi="新細明體" w:cs="Times New Roman"/>
          <w:sz w:val="28"/>
          <w:szCs w:val="28"/>
        </w:rPr>
        <w:t>：</w:t>
      </w:r>
      <w:r>
        <w:rPr>
          <w:rFonts w:ascii="標楷體" w:eastAsia="標楷體" w:hAnsi="標楷體" w:cs="Times New Roman"/>
          <w:sz w:val="28"/>
          <w:szCs w:val="28"/>
        </w:rPr>
        <w:t>百分之三十五。</w:t>
      </w:r>
    </w:p>
    <w:p w:rsidR="00DF6F37" w:rsidRDefault="00B758A3">
      <w:pPr>
        <w:pStyle w:val="a6"/>
        <w:spacing w:line="460" w:lineRule="exact"/>
        <w:ind w:left="1843"/>
        <w:jc w:val="both"/>
      </w:pPr>
      <w:r>
        <w:rPr>
          <w:rFonts w:ascii="標楷體" w:eastAsia="標楷體" w:hAnsi="標楷體" w:cs="Times New Roman"/>
          <w:sz w:val="28"/>
          <w:szCs w:val="28"/>
        </w:rPr>
        <w:t>（三）高級中等以上學校</w:t>
      </w:r>
      <w:r>
        <w:rPr>
          <w:rFonts w:ascii="新細明體" w:hAnsi="新細明體" w:cs="Times New Roman"/>
          <w:sz w:val="28"/>
          <w:szCs w:val="28"/>
        </w:rPr>
        <w:t>：</w:t>
      </w:r>
      <w:r>
        <w:rPr>
          <w:rFonts w:ascii="標楷體" w:eastAsia="標楷體" w:hAnsi="標楷體" w:cs="Times New Roman"/>
          <w:sz w:val="28"/>
          <w:szCs w:val="28"/>
        </w:rPr>
        <w:t>百分之二十。</w:t>
      </w:r>
    </w:p>
    <w:p w:rsidR="00DF6F37" w:rsidRDefault="00B758A3">
      <w:pPr>
        <w:pStyle w:val="a6"/>
        <w:spacing w:line="460" w:lineRule="exact"/>
        <w:ind w:left="1418"/>
        <w:jc w:val="both"/>
      </w:pPr>
      <w:r>
        <w:rPr>
          <w:rFonts w:ascii="Times New Roman" w:eastAsia="標楷體" w:hAnsi="Times New Roman" w:cs="Times New Roman"/>
          <w:sz w:val="28"/>
          <w:szCs w:val="28"/>
        </w:rPr>
        <w:t>三、</w:t>
      </w:r>
      <w:r>
        <w:rPr>
          <w:rFonts w:ascii="標楷體" w:eastAsia="標楷體" w:hAnsi="標楷體"/>
          <w:color w:val="000000"/>
          <w:sz w:val="28"/>
          <w:szCs w:val="28"/>
        </w:rPr>
        <w:t>年度成績考核：百分之十五。</w:t>
      </w:r>
    </w:p>
    <w:p w:rsidR="00DF6F37" w:rsidRDefault="00B758A3">
      <w:pPr>
        <w:pStyle w:val="a6"/>
        <w:spacing w:line="460" w:lineRule="exact"/>
        <w:ind w:left="1418"/>
        <w:jc w:val="both"/>
      </w:pPr>
      <w:r>
        <w:rPr>
          <w:rFonts w:ascii="新細明體" w:hAnsi="新細明體" w:cs="Times New Roman"/>
          <w:color w:val="FFFFFF"/>
          <w:sz w:val="28"/>
          <w:szCs w:val="28"/>
        </w:rPr>
        <w:t>□□</w:t>
      </w:r>
      <w:r>
        <w:rPr>
          <w:rFonts w:ascii="標楷體" w:eastAsia="標楷體" w:hAnsi="標楷體"/>
          <w:color w:val="000000"/>
          <w:sz w:val="28"/>
          <w:szCs w:val="28"/>
        </w:rPr>
        <w:t>前項評量類別、配分比率及其評量要項，規定如附表。</w:t>
      </w:r>
    </w:p>
    <w:p w:rsidR="00DF6F37" w:rsidRDefault="00B758A3">
      <w:pPr>
        <w:pStyle w:val="a6"/>
        <w:spacing w:line="460" w:lineRule="exact"/>
        <w:ind w:left="840"/>
        <w:jc w:val="both"/>
      </w:pPr>
      <w:r>
        <w:rPr>
          <w:rFonts w:ascii="新細明體" w:hAnsi="新細明體" w:cs="Times New Roman"/>
          <w:color w:val="FFFFFF"/>
          <w:sz w:val="28"/>
          <w:szCs w:val="28"/>
        </w:rPr>
        <w:lastRenderedPageBreak/>
        <w:t>□□</w:t>
      </w:r>
      <w:r>
        <w:rPr>
          <w:rFonts w:ascii="標楷體" w:eastAsia="標楷體" w:hAnsi="標楷體"/>
          <w:color w:val="000000"/>
          <w:sz w:val="28"/>
          <w:szCs w:val="28"/>
        </w:rPr>
        <w:t>依本法第十三條第五項規定增聘教練之績效評量，其配分比率由評委會擬訂，不受前項規定之限制。</w:t>
      </w:r>
    </w:p>
    <w:p w:rsidR="00DF6F37" w:rsidRDefault="00B758A3">
      <w:pPr>
        <w:pStyle w:val="a6"/>
        <w:spacing w:line="460" w:lineRule="exact"/>
        <w:ind w:left="840"/>
        <w:jc w:val="both"/>
      </w:pPr>
      <w:r>
        <w:rPr>
          <w:rFonts w:ascii="新細明體" w:hAnsi="新細明體" w:cs="Times New Roman"/>
          <w:color w:val="FFFFFF"/>
          <w:sz w:val="28"/>
          <w:szCs w:val="28"/>
        </w:rPr>
        <w:t>□□</w:t>
      </w:r>
      <w:r>
        <w:rPr>
          <w:rFonts w:ascii="標楷體" w:eastAsia="標楷體" w:hAnsi="標楷體"/>
          <w:color w:val="000000"/>
          <w:sz w:val="28"/>
          <w:szCs w:val="28"/>
        </w:rPr>
        <w:t>前三項規定，自中華民國一百零六年八月一日施行。</w:t>
      </w:r>
    </w:p>
    <w:p w:rsidR="00DF6F37" w:rsidRDefault="00B758A3">
      <w:pPr>
        <w:pStyle w:val="a6"/>
        <w:spacing w:line="460" w:lineRule="exact"/>
        <w:ind w:left="1120" w:hanging="1120"/>
        <w:jc w:val="both"/>
      </w:pPr>
      <w:r>
        <w:rPr>
          <w:rFonts w:ascii="Times New Roman" w:eastAsia="標楷體" w:hAnsi="Times New Roman" w:cs="Times New Roman"/>
          <w:sz w:val="28"/>
          <w:szCs w:val="28"/>
        </w:rPr>
        <w:t>第十一條</w:t>
      </w:r>
      <w:r>
        <w:rPr>
          <w:rFonts w:ascii="新細明體" w:hAnsi="新細明體" w:cs="Times New Roman"/>
          <w:color w:val="FFFFFF"/>
          <w:sz w:val="28"/>
          <w:szCs w:val="28"/>
        </w:rPr>
        <w:t>□□</w:t>
      </w:r>
      <w:r>
        <w:rPr>
          <w:rFonts w:ascii="標楷體" w:eastAsia="標楷體" w:hAnsi="標楷體" w:cs="細明體"/>
          <w:color w:val="000000"/>
          <w:kern w:val="0"/>
          <w:sz w:val="28"/>
          <w:szCs w:val="28"/>
        </w:rPr>
        <w:t>教練每服務滿三年，應於規定期限內，將績效評量表連同相關證明文件送服務學校</w:t>
      </w:r>
      <w:r>
        <w:rPr>
          <w:rFonts w:ascii="新細明體" w:hAnsi="新細明體" w:cs="細明體"/>
          <w:color w:val="000000"/>
          <w:kern w:val="0"/>
          <w:sz w:val="28"/>
          <w:szCs w:val="28"/>
        </w:rPr>
        <w:t>；</w:t>
      </w:r>
      <w:r>
        <w:rPr>
          <w:rFonts w:ascii="標楷體" w:eastAsia="標楷體" w:hAnsi="標楷體" w:cs="細明體"/>
          <w:color w:val="000000"/>
          <w:kern w:val="0"/>
          <w:sz w:val="28"/>
          <w:szCs w:val="28"/>
        </w:rPr>
        <w:t>服務學校自收受次日起，應於一個月內完成查證，並將結果及相關資料送評委會。</w:t>
      </w:r>
    </w:p>
    <w:p w:rsidR="00DF6F37" w:rsidRDefault="00B758A3">
      <w:pPr>
        <w:pStyle w:val="a6"/>
        <w:spacing w:line="460" w:lineRule="exact"/>
        <w:ind w:left="1120" w:hanging="1120"/>
        <w:jc w:val="both"/>
      </w:pPr>
      <w:r>
        <w:rPr>
          <w:rFonts w:ascii="標楷體" w:eastAsia="標楷體" w:hAnsi="標楷體" w:cs="細明體"/>
          <w:color w:val="000000"/>
          <w:kern w:val="0"/>
          <w:sz w:val="28"/>
          <w:szCs w:val="28"/>
        </w:rPr>
        <w:t xml:space="preserve">        </w:t>
      </w:r>
      <w:r>
        <w:rPr>
          <w:rFonts w:ascii="新細明體" w:hAnsi="新細明體" w:cs="Times New Roman"/>
          <w:color w:val="FFFFFF"/>
          <w:sz w:val="28"/>
          <w:szCs w:val="28"/>
        </w:rPr>
        <w:t>□□</w:t>
      </w:r>
      <w:r>
        <w:rPr>
          <w:rFonts w:ascii="標楷體" w:eastAsia="標楷體" w:hAnsi="標楷體" w:cs="細明體"/>
          <w:color w:val="000000"/>
          <w:kern w:val="0"/>
          <w:sz w:val="28"/>
          <w:szCs w:val="28"/>
        </w:rPr>
        <w:t>評委會自收受前項相關資料次日起，應於二個月內完成評量作業；其評量結果經主管機關或專科以上學校核定後，以書面通知服務學校及受評量人。</w:t>
      </w:r>
    </w:p>
    <w:p w:rsidR="00DF6F37" w:rsidRDefault="00B758A3">
      <w:pPr>
        <w:pStyle w:val="a6"/>
        <w:spacing w:line="460" w:lineRule="exact"/>
        <w:ind w:left="1120" w:hanging="1120"/>
        <w:jc w:val="both"/>
      </w:pPr>
      <w:r>
        <w:rPr>
          <w:rFonts w:ascii="Times New Roman" w:eastAsia="標楷體" w:hAnsi="Times New Roman" w:cs="Times New Roman"/>
          <w:sz w:val="28"/>
          <w:szCs w:val="28"/>
        </w:rPr>
        <w:t>第十二條</w:t>
      </w:r>
      <w:r>
        <w:rPr>
          <w:rFonts w:ascii="新細明體" w:hAnsi="新細明體" w:cs="Times New Roman"/>
          <w:color w:val="FFFFFF"/>
          <w:sz w:val="28"/>
          <w:szCs w:val="28"/>
        </w:rPr>
        <w:t>□□</w:t>
      </w:r>
      <w:r>
        <w:rPr>
          <w:rFonts w:ascii="標楷體" w:eastAsia="標楷體" w:hAnsi="標楷體"/>
          <w:color w:val="000000"/>
          <w:sz w:val="28"/>
          <w:szCs w:val="28"/>
        </w:rPr>
        <w:t>本準則除另定施行日期者外，自發布日施行。</w:t>
      </w:r>
    </w:p>
    <w:p w:rsidR="00DF6F37" w:rsidRDefault="00DF6F37">
      <w:pPr>
        <w:pStyle w:val="a6"/>
        <w:spacing w:line="460" w:lineRule="exact"/>
        <w:ind w:left="840" w:hanging="840"/>
        <w:jc w:val="both"/>
        <w:rPr>
          <w:rFonts w:ascii="Times New Roman" w:eastAsia="標楷體" w:hAnsi="Times New Roman" w:cs="Times New Roman"/>
          <w:sz w:val="28"/>
          <w:szCs w:val="28"/>
        </w:rPr>
      </w:pPr>
    </w:p>
    <w:p w:rsidR="00DF6F37" w:rsidRDefault="00DF6F37">
      <w:pPr>
        <w:pStyle w:val="a6"/>
        <w:spacing w:line="460" w:lineRule="exact"/>
        <w:ind w:left="840" w:hanging="840"/>
        <w:jc w:val="both"/>
        <w:rPr>
          <w:rFonts w:ascii="Times New Roman" w:eastAsia="標楷體" w:hAnsi="Times New Roman" w:cs="Times New Roman"/>
          <w:sz w:val="28"/>
          <w:szCs w:val="28"/>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DF6F37">
      <w:pPr>
        <w:pStyle w:val="Standard"/>
        <w:rPr>
          <w:rFonts w:ascii="標楷體" w:eastAsia="標楷體" w:hAnsi="標楷體"/>
          <w:color w:val="000000"/>
        </w:rPr>
      </w:pPr>
    </w:p>
    <w:p w:rsidR="00DF6F37" w:rsidRDefault="00B758A3">
      <w:pPr>
        <w:pStyle w:val="Standard"/>
      </w:pPr>
      <w:r>
        <w:rPr>
          <w:rFonts w:ascii="標楷體" w:eastAsia="標楷體" w:hAnsi="標楷體"/>
          <w:color w:val="000000"/>
        </w:rPr>
        <w:t>附表</w:t>
      </w:r>
    </w:p>
    <w:tbl>
      <w:tblPr>
        <w:tblW w:w="9385" w:type="dxa"/>
        <w:tblInd w:w="-113" w:type="dxa"/>
        <w:tblLayout w:type="fixed"/>
        <w:tblCellMar>
          <w:left w:w="10" w:type="dxa"/>
          <w:right w:w="10" w:type="dxa"/>
        </w:tblCellMar>
        <w:tblLook w:val="0000" w:firstRow="0" w:lastRow="0" w:firstColumn="0" w:lastColumn="0" w:noHBand="0" w:noVBand="0"/>
      </w:tblPr>
      <w:tblGrid>
        <w:gridCol w:w="1694"/>
        <w:gridCol w:w="541"/>
        <w:gridCol w:w="567"/>
        <w:gridCol w:w="629"/>
        <w:gridCol w:w="5954"/>
      </w:tblGrid>
      <w:tr w:rsidR="00DF6F37">
        <w:tblPrEx>
          <w:tblCellMar>
            <w:top w:w="0" w:type="dxa"/>
            <w:bottom w:w="0" w:type="dxa"/>
          </w:tblCellMar>
        </w:tblPrEx>
        <w:trPr>
          <w:trHeight w:val="1105"/>
        </w:trPr>
        <w:tc>
          <w:tcPr>
            <w:tcW w:w="1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F6F37" w:rsidRDefault="00B82437">
            <w:pPr>
              <w:pStyle w:val="Standard"/>
              <w:spacing w:line="240" w:lineRule="exact"/>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7620</wp:posOffset>
                      </wp:positionV>
                      <wp:extent cx="1080135" cy="739140"/>
                      <wp:effectExtent l="0" t="0" r="24765" b="22860"/>
                      <wp:wrapNone/>
                      <wp:docPr id="2"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0135" cy="739140"/>
                              </a:xfrm>
                              <a:prstGeom prst="straightConnector1">
                                <a:avLst/>
                              </a:prstGeom>
                              <a:noFill/>
                              <a:ln w="9360">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接點 1" o:spid="_x0000_s1026" type="#_x0000_t32" style="position:absolute;margin-left:-5.4pt;margin-top:.6pt;width:85.05pt;height:5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" strokeweight=".26mm">
                      <v:stroke joinstyle="miter"/>
                      <o:lock v:ext="edit" shapetype="f"/>
                    </v:shape>
                  </w:pict>
                </mc:Fallback>
              </mc:AlternateContent>
            </w:r>
            <w:r w:rsidR="00B758A3">
              <w:rPr>
                <w:rFonts w:ascii="Times New Roman" w:eastAsia="標楷體" w:hAnsi="Times New Roman" w:cs="Times New Roman"/>
                <w:color w:val="000000"/>
                <w:sz w:val="20"/>
                <w:szCs w:val="20"/>
              </w:rPr>
              <w:t xml:space="preserve">       </w:t>
            </w:r>
          </w:p>
          <w:p w:rsidR="00DF6F37" w:rsidRDefault="00B758A3">
            <w:pPr>
              <w:pStyle w:val="Standard"/>
              <w:spacing w:line="240" w:lineRule="exact"/>
              <w:jc w:val="center"/>
            </w:pPr>
            <w:r>
              <w:rPr>
                <w:rFonts w:ascii="Times New Roman" w:eastAsia="標楷體" w:hAnsi="Times New Roman" w:cs="Times New Roman"/>
                <w:color w:val="000000"/>
                <w:sz w:val="20"/>
                <w:szCs w:val="20"/>
              </w:rPr>
              <w:t xml:space="preserve">      </w:t>
            </w:r>
            <w:r>
              <w:rPr>
                <w:rFonts w:ascii="Times New Roman" w:eastAsia="標楷體" w:hAnsi="Times New Roman" w:cs="Times New Roman"/>
                <w:color w:val="000000"/>
                <w:sz w:val="20"/>
                <w:szCs w:val="20"/>
              </w:rPr>
              <w:t>服務階段</w:t>
            </w:r>
          </w:p>
          <w:p w:rsidR="00DF6F37" w:rsidRDefault="00DF6F37">
            <w:pPr>
              <w:pStyle w:val="Standard"/>
              <w:spacing w:line="240" w:lineRule="exact"/>
              <w:jc w:val="center"/>
              <w:rPr>
                <w:rFonts w:ascii="Times New Roman" w:eastAsia="標楷體" w:hAnsi="Times New Roman" w:cs="Times New Roman"/>
                <w:color w:val="000000"/>
                <w:sz w:val="20"/>
                <w:szCs w:val="20"/>
              </w:rPr>
            </w:pPr>
          </w:p>
          <w:p w:rsidR="00DF6F37" w:rsidRDefault="00B758A3">
            <w:pPr>
              <w:pStyle w:val="Standard"/>
              <w:spacing w:line="240" w:lineRule="exact"/>
            </w:pPr>
            <w:r>
              <w:rPr>
                <w:rFonts w:ascii="Times New Roman" w:eastAsia="標楷體" w:hAnsi="Times New Roman" w:cs="Times New Roman"/>
                <w:color w:val="000000"/>
                <w:sz w:val="20"/>
                <w:szCs w:val="20"/>
              </w:rPr>
              <w:t>類別與</w:t>
            </w:r>
          </w:p>
          <w:p w:rsidR="00DF6F37" w:rsidRDefault="00B758A3">
            <w:pPr>
              <w:pStyle w:val="Standard"/>
              <w:spacing w:line="240" w:lineRule="exact"/>
            </w:pPr>
            <w:r>
              <w:rPr>
                <w:rFonts w:ascii="Times New Roman" w:eastAsia="標楷體" w:hAnsi="Times New Roman" w:cs="Times New Roman"/>
                <w:color w:val="000000"/>
                <w:sz w:val="20"/>
                <w:szCs w:val="20"/>
              </w:rPr>
              <w:t>配分比率</w:t>
            </w:r>
          </w:p>
        </w:tc>
        <w:tc>
          <w:tcPr>
            <w:tcW w:w="5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F6F37" w:rsidRDefault="00B758A3">
            <w:pPr>
              <w:pStyle w:val="Standard"/>
              <w:spacing w:line="240" w:lineRule="exact"/>
              <w:jc w:val="center"/>
            </w:pPr>
            <w:r>
              <w:rPr>
                <w:rFonts w:ascii="Times New Roman" w:eastAsia="標楷體" w:hAnsi="Times New Roman" w:cs="Times New Roman"/>
                <w:color w:val="000000"/>
                <w:sz w:val="20"/>
                <w:szCs w:val="20"/>
              </w:rPr>
              <w:t>國民</w:t>
            </w:r>
          </w:p>
          <w:p w:rsidR="00DF6F37" w:rsidRDefault="00B758A3">
            <w:pPr>
              <w:pStyle w:val="Standard"/>
              <w:spacing w:line="240" w:lineRule="exact"/>
              <w:jc w:val="center"/>
            </w:pPr>
            <w:r>
              <w:rPr>
                <w:rFonts w:ascii="Times New Roman" w:eastAsia="標楷體" w:hAnsi="Times New Roman" w:cs="Times New Roman"/>
                <w:color w:val="000000"/>
                <w:sz w:val="20"/>
                <w:szCs w:val="20"/>
              </w:rPr>
              <w:t>小學</w:t>
            </w:r>
          </w:p>
        </w:tc>
        <w:tc>
          <w:tcPr>
            <w:tcW w:w="5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F6F37" w:rsidRDefault="00B758A3">
            <w:pPr>
              <w:pStyle w:val="Standard"/>
              <w:spacing w:line="240" w:lineRule="exact"/>
              <w:jc w:val="center"/>
            </w:pPr>
            <w:r>
              <w:rPr>
                <w:rFonts w:ascii="Times New Roman" w:eastAsia="標楷體" w:hAnsi="Times New Roman" w:cs="Times New Roman"/>
                <w:color w:val="000000"/>
                <w:sz w:val="20"/>
                <w:szCs w:val="20"/>
              </w:rPr>
              <w:t>國民</w:t>
            </w:r>
          </w:p>
          <w:p w:rsidR="00DF6F37" w:rsidRDefault="00B758A3">
            <w:pPr>
              <w:pStyle w:val="Standard"/>
              <w:spacing w:line="240" w:lineRule="exact"/>
              <w:jc w:val="center"/>
            </w:pPr>
            <w:r>
              <w:rPr>
                <w:rFonts w:ascii="Times New Roman" w:eastAsia="標楷體" w:hAnsi="Times New Roman" w:cs="Times New Roman"/>
                <w:color w:val="000000"/>
                <w:sz w:val="20"/>
                <w:szCs w:val="20"/>
              </w:rPr>
              <w:t>中學</w:t>
            </w:r>
          </w:p>
        </w:tc>
        <w:tc>
          <w:tcPr>
            <w:tcW w:w="6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F6F37" w:rsidRDefault="00B758A3">
            <w:pPr>
              <w:pStyle w:val="Standard"/>
              <w:spacing w:line="240" w:lineRule="exact"/>
              <w:jc w:val="center"/>
            </w:pPr>
            <w:r>
              <w:rPr>
                <w:rFonts w:ascii="Times New Roman" w:eastAsia="標楷體" w:hAnsi="Times New Roman" w:cs="Times New Roman"/>
                <w:color w:val="000000"/>
                <w:sz w:val="20"/>
                <w:szCs w:val="20"/>
              </w:rPr>
              <w:t>高級中等以上</w:t>
            </w:r>
          </w:p>
          <w:p w:rsidR="00DF6F37" w:rsidRDefault="00B758A3">
            <w:pPr>
              <w:pStyle w:val="Standard"/>
              <w:spacing w:line="240" w:lineRule="exact"/>
              <w:jc w:val="center"/>
            </w:pPr>
            <w:r>
              <w:rPr>
                <w:rFonts w:ascii="Times New Roman" w:eastAsia="標楷體" w:hAnsi="Times New Roman" w:cs="Times New Roman"/>
                <w:color w:val="000000"/>
                <w:sz w:val="20"/>
                <w:szCs w:val="20"/>
              </w:rPr>
              <w:t>學校</w:t>
            </w:r>
          </w:p>
        </w:tc>
        <w:tc>
          <w:tcPr>
            <w:tcW w:w="59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F6F37" w:rsidRDefault="00B758A3">
            <w:pPr>
              <w:pStyle w:val="Standard"/>
              <w:spacing w:line="240" w:lineRule="exact"/>
              <w:jc w:val="center"/>
            </w:pPr>
            <w:r>
              <w:rPr>
                <w:rFonts w:ascii="Times New Roman" w:eastAsia="標楷體" w:hAnsi="Times New Roman" w:cs="Times New Roman"/>
                <w:color w:val="000000"/>
                <w:sz w:val="20"/>
                <w:szCs w:val="20"/>
              </w:rPr>
              <w:t>評量要項</w:t>
            </w:r>
          </w:p>
        </w:tc>
      </w:tr>
      <w:tr w:rsidR="00DF6F37">
        <w:tblPrEx>
          <w:tblCellMar>
            <w:top w:w="0" w:type="dxa"/>
            <w:bottom w:w="0" w:type="dxa"/>
          </w:tblCellMar>
        </w:tblPrEx>
        <w:trPr>
          <w:trHeight w:val="7920"/>
        </w:trPr>
        <w:tc>
          <w:tcPr>
            <w:tcW w:w="1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F6F37" w:rsidRDefault="00B758A3">
            <w:pPr>
              <w:pStyle w:val="Standard"/>
              <w:spacing w:line="240" w:lineRule="exact"/>
              <w:jc w:val="center"/>
            </w:pPr>
            <w:r>
              <w:rPr>
                <w:rFonts w:ascii="Times New Roman" w:eastAsia="標楷體" w:hAnsi="Times New Roman" w:cs="Times New Roman"/>
                <w:color w:val="000000"/>
                <w:szCs w:val="24"/>
              </w:rPr>
              <w:t>訓練指導</w:t>
            </w:r>
          </w:p>
          <w:p w:rsidR="00DF6F37" w:rsidRDefault="00B758A3">
            <w:pPr>
              <w:pStyle w:val="Standard"/>
              <w:spacing w:line="240" w:lineRule="exact"/>
              <w:jc w:val="center"/>
            </w:pPr>
            <w:r>
              <w:rPr>
                <w:rFonts w:ascii="Times New Roman" w:eastAsia="標楷體" w:hAnsi="Times New Roman" w:cs="Times New Roman"/>
                <w:color w:val="000000"/>
                <w:szCs w:val="24"/>
              </w:rPr>
              <w:t>績效</w:t>
            </w:r>
          </w:p>
        </w:tc>
        <w:tc>
          <w:tcPr>
            <w:tcW w:w="5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F6F37" w:rsidRDefault="00B758A3">
            <w:pPr>
              <w:pStyle w:val="Standard"/>
              <w:spacing w:line="240" w:lineRule="exact"/>
              <w:jc w:val="center"/>
            </w:pPr>
            <w:r>
              <w:rPr>
                <w:rFonts w:ascii="Times New Roman" w:eastAsia="標楷體" w:hAnsi="Times New Roman" w:cs="Times New Roman"/>
                <w:color w:val="000000"/>
                <w:szCs w:val="24"/>
              </w:rPr>
              <w:t>35%</w:t>
            </w:r>
          </w:p>
        </w:tc>
        <w:tc>
          <w:tcPr>
            <w:tcW w:w="5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F6F37" w:rsidRDefault="00B758A3">
            <w:pPr>
              <w:pStyle w:val="Standard"/>
              <w:spacing w:line="240" w:lineRule="exact"/>
              <w:jc w:val="center"/>
            </w:pPr>
            <w:r>
              <w:rPr>
                <w:rFonts w:ascii="Times New Roman" w:eastAsia="標楷體" w:hAnsi="Times New Roman" w:cs="Times New Roman"/>
                <w:color w:val="000000"/>
                <w:szCs w:val="24"/>
              </w:rPr>
              <w:t>50%</w:t>
            </w:r>
          </w:p>
        </w:tc>
        <w:tc>
          <w:tcPr>
            <w:tcW w:w="6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F6F37" w:rsidRDefault="00B758A3">
            <w:pPr>
              <w:pStyle w:val="Standard"/>
              <w:spacing w:line="240" w:lineRule="exact"/>
              <w:jc w:val="center"/>
            </w:pPr>
            <w:r>
              <w:rPr>
                <w:rFonts w:ascii="Times New Roman" w:eastAsia="標楷體" w:hAnsi="Times New Roman" w:cs="Times New Roman"/>
                <w:color w:val="000000"/>
                <w:szCs w:val="24"/>
              </w:rPr>
              <w:t>65%</w:t>
            </w:r>
          </w:p>
        </w:tc>
        <w:tc>
          <w:tcPr>
            <w:tcW w:w="59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F6F37" w:rsidRDefault="00B758A3">
            <w:pPr>
              <w:pStyle w:val="Standard"/>
              <w:widowControl/>
              <w:spacing w:line="260" w:lineRule="exact"/>
              <w:ind w:left="180" w:right="48" w:hanging="180"/>
              <w:jc w:val="both"/>
            </w:pPr>
            <w:r>
              <w:rPr>
                <w:rFonts w:ascii="Times New Roman" w:eastAsia="標楷體" w:hAnsi="Times New Roman" w:cs="Times New Roman"/>
                <w:color w:val="000000"/>
                <w:kern w:val="0"/>
                <w:szCs w:val="24"/>
              </w:rPr>
              <w:t>1.</w:t>
            </w:r>
            <w:r>
              <w:rPr>
                <w:rFonts w:ascii="Times New Roman" w:eastAsia="標楷體" w:hAnsi="Times New Roman" w:cs="Times New Roman"/>
                <w:color w:val="000000"/>
                <w:kern w:val="0"/>
                <w:szCs w:val="24"/>
              </w:rPr>
              <w:t>評委會得依下列賽事或具體事蹟，訂定給分項目</w:t>
            </w:r>
            <w:r>
              <w:rPr>
                <w:rFonts w:ascii="新細明體" w:hAnsi="新細明體" w:cs="Times New Roman"/>
                <w:color w:val="000000"/>
                <w:kern w:val="0"/>
                <w:szCs w:val="24"/>
              </w:rPr>
              <w:t>：</w:t>
            </w:r>
          </w:p>
          <w:p w:rsidR="00DF6F37" w:rsidRDefault="00B758A3">
            <w:pPr>
              <w:pStyle w:val="a6"/>
              <w:spacing w:line="260" w:lineRule="exact"/>
              <w:ind w:left="715" w:hanging="540"/>
              <w:jc w:val="both"/>
            </w:pP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1</w:t>
            </w:r>
            <w:r>
              <w:rPr>
                <w:rFonts w:ascii="Times New Roman" w:eastAsia="標楷體" w:hAnsi="Times New Roman" w:cs="Times New Roman"/>
                <w:color w:val="000000"/>
                <w:szCs w:val="24"/>
              </w:rPr>
              <w:t>）學生獲國光體育獎章。</w:t>
            </w:r>
          </w:p>
          <w:p w:rsidR="00DF6F37" w:rsidRDefault="00B758A3">
            <w:pPr>
              <w:pStyle w:val="a6"/>
              <w:spacing w:line="260" w:lineRule="exact"/>
              <w:ind w:left="715" w:hanging="540"/>
              <w:jc w:val="both"/>
            </w:pP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2</w:t>
            </w:r>
            <w:r>
              <w:rPr>
                <w:rFonts w:ascii="Times New Roman" w:eastAsia="標楷體" w:hAnsi="Times New Roman" w:cs="Times New Roman"/>
                <w:color w:val="000000"/>
                <w:szCs w:val="24"/>
              </w:rPr>
              <w:t>）學生參加國際正式比賽獲獎。</w:t>
            </w:r>
          </w:p>
          <w:p w:rsidR="00DF6F37" w:rsidRDefault="00B758A3">
            <w:pPr>
              <w:pStyle w:val="a6"/>
              <w:spacing w:line="260" w:lineRule="exact"/>
              <w:ind w:left="763" w:hanging="588"/>
              <w:jc w:val="both"/>
            </w:pP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t>）學生參加國家代表隊之選拔賽事或入選國家代</w:t>
            </w:r>
          </w:p>
          <w:p w:rsidR="00DF6F37" w:rsidRDefault="00B758A3">
            <w:pPr>
              <w:pStyle w:val="a6"/>
              <w:spacing w:line="260" w:lineRule="exact"/>
              <w:ind w:left="763" w:hanging="588"/>
              <w:jc w:val="both"/>
            </w:pPr>
            <w:r>
              <w:rPr>
                <w:rFonts w:ascii="Times New Roman" w:eastAsia="標楷體" w:hAnsi="Times New Roman" w:cs="Times New Roman"/>
                <w:color w:val="000000"/>
                <w:szCs w:val="24"/>
              </w:rPr>
              <w:t xml:space="preserve">     </w:t>
            </w:r>
            <w:r>
              <w:rPr>
                <w:rFonts w:ascii="Times New Roman" w:eastAsia="標楷體" w:hAnsi="Times New Roman" w:cs="Times New Roman"/>
                <w:color w:val="000000"/>
                <w:szCs w:val="24"/>
              </w:rPr>
              <w:t>表隊之人數。</w:t>
            </w:r>
          </w:p>
          <w:p w:rsidR="00DF6F37" w:rsidRDefault="00B758A3">
            <w:pPr>
              <w:pStyle w:val="a6"/>
              <w:spacing w:line="260" w:lineRule="exact"/>
              <w:ind w:left="763" w:hanging="588"/>
              <w:jc w:val="both"/>
            </w:pP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4</w:t>
            </w:r>
            <w:r>
              <w:rPr>
                <w:rFonts w:ascii="Times New Roman" w:eastAsia="標楷體" w:hAnsi="Times New Roman" w:cs="Times New Roman"/>
                <w:color w:val="000000"/>
                <w:szCs w:val="24"/>
              </w:rPr>
              <w:t>）學生參加全國運動會、全民運動會、全國身心</w:t>
            </w:r>
          </w:p>
          <w:p w:rsidR="00DF6F37" w:rsidRDefault="00B758A3">
            <w:pPr>
              <w:pStyle w:val="a6"/>
              <w:spacing w:line="260" w:lineRule="exact"/>
              <w:ind w:left="763" w:hanging="588"/>
              <w:jc w:val="both"/>
            </w:pPr>
            <w:r>
              <w:rPr>
                <w:rFonts w:ascii="Times New Roman" w:eastAsia="標楷體" w:hAnsi="Times New Roman" w:cs="Times New Roman"/>
                <w:color w:val="000000"/>
                <w:szCs w:val="24"/>
              </w:rPr>
              <w:t xml:space="preserve">     </w:t>
            </w:r>
            <w:r>
              <w:rPr>
                <w:rFonts w:ascii="Times New Roman" w:eastAsia="標楷體" w:hAnsi="Times New Roman" w:cs="Times New Roman"/>
                <w:color w:val="000000"/>
                <w:szCs w:val="24"/>
              </w:rPr>
              <w:t>障礙運動會、全國原住民族運動會、全國大專</w:t>
            </w:r>
          </w:p>
          <w:p w:rsidR="00DF6F37" w:rsidRDefault="00B758A3">
            <w:pPr>
              <w:pStyle w:val="a6"/>
              <w:spacing w:line="260" w:lineRule="exact"/>
              <w:ind w:left="763" w:hanging="588"/>
              <w:jc w:val="both"/>
            </w:pPr>
            <w:r>
              <w:rPr>
                <w:rFonts w:ascii="Times New Roman" w:eastAsia="標楷體" w:hAnsi="Times New Roman" w:cs="Times New Roman"/>
                <w:color w:val="000000"/>
                <w:szCs w:val="24"/>
              </w:rPr>
              <w:t xml:space="preserve">     </w:t>
            </w:r>
            <w:r>
              <w:rPr>
                <w:rFonts w:ascii="Times New Roman" w:eastAsia="標楷體" w:hAnsi="Times New Roman" w:cs="Times New Roman"/>
                <w:color w:val="000000"/>
                <w:szCs w:val="24"/>
              </w:rPr>
              <w:t>校院運動會及全國中等學校運動會。</w:t>
            </w:r>
          </w:p>
          <w:p w:rsidR="00DF6F37" w:rsidRDefault="00B758A3">
            <w:pPr>
              <w:pStyle w:val="a6"/>
              <w:spacing w:line="260" w:lineRule="exact"/>
              <w:ind w:left="763" w:hanging="588"/>
              <w:jc w:val="both"/>
            </w:pP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5</w:t>
            </w:r>
            <w:r>
              <w:rPr>
                <w:rFonts w:ascii="Times New Roman" w:eastAsia="標楷體" w:hAnsi="Times New Roman" w:cs="Times New Roman"/>
                <w:color w:val="000000"/>
                <w:szCs w:val="24"/>
              </w:rPr>
              <w:t>）學生參加全國大專聯賽、全國中等學校運動會</w:t>
            </w:r>
          </w:p>
          <w:p w:rsidR="00DF6F37" w:rsidRDefault="00B758A3">
            <w:pPr>
              <w:pStyle w:val="a6"/>
              <w:spacing w:line="260" w:lineRule="exact"/>
              <w:ind w:left="763" w:hanging="588"/>
              <w:jc w:val="both"/>
            </w:pPr>
            <w:r>
              <w:rPr>
                <w:rFonts w:ascii="Times New Roman" w:eastAsia="標楷體" w:hAnsi="Times New Roman" w:cs="Times New Roman"/>
                <w:color w:val="000000"/>
                <w:szCs w:val="24"/>
              </w:rPr>
              <w:t xml:space="preserve">     </w:t>
            </w:r>
            <w:r>
              <w:rPr>
                <w:rFonts w:ascii="Times New Roman" w:eastAsia="標楷體" w:hAnsi="Times New Roman" w:cs="Times New Roman"/>
                <w:color w:val="000000"/>
                <w:szCs w:val="24"/>
              </w:rPr>
              <w:t>聯賽及全國各單項協會主辦並經教育部核定之</w:t>
            </w:r>
          </w:p>
          <w:p w:rsidR="00DF6F37" w:rsidRDefault="00B758A3">
            <w:pPr>
              <w:pStyle w:val="a6"/>
              <w:spacing w:line="260" w:lineRule="exact"/>
              <w:ind w:left="763" w:hanging="588"/>
              <w:jc w:val="both"/>
            </w:pPr>
            <w:r>
              <w:rPr>
                <w:rFonts w:ascii="Times New Roman" w:eastAsia="標楷體" w:hAnsi="Times New Roman" w:cs="Times New Roman"/>
                <w:color w:val="000000"/>
                <w:szCs w:val="24"/>
              </w:rPr>
              <w:t xml:space="preserve">     </w:t>
            </w:r>
            <w:r>
              <w:rPr>
                <w:rFonts w:ascii="Times New Roman" w:eastAsia="標楷體" w:hAnsi="Times New Roman" w:cs="Times New Roman"/>
                <w:color w:val="000000"/>
                <w:szCs w:val="24"/>
              </w:rPr>
              <w:t>甄試資格錦標賽。</w:t>
            </w:r>
          </w:p>
          <w:p w:rsidR="00DF6F37" w:rsidRDefault="00B758A3">
            <w:pPr>
              <w:pStyle w:val="a6"/>
              <w:spacing w:line="260" w:lineRule="exact"/>
              <w:ind w:left="763" w:hanging="588"/>
              <w:jc w:val="both"/>
            </w:pP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6</w:t>
            </w:r>
            <w:r>
              <w:rPr>
                <w:rFonts w:ascii="Times New Roman" w:eastAsia="標楷體" w:hAnsi="Times New Roman" w:cs="Times New Roman"/>
                <w:color w:val="000000"/>
                <w:szCs w:val="24"/>
              </w:rPr>
              <w:t>）學生參加全國大專單項錦標賽、直轄市、縣（市）政府主辦之運動比賽及其他經主管機關核定之正式比賽獲獎者。</w:t>
            </w:r>
          </w:p>
          <w:p w:rsidR="00DF6F37" w:rsidRDefault="00B758A3">
            <w:pPr>
              <w:pStyle w:val="a6"/>
              <w:spacing w:line="260" w:lineRule="exact"/>
              <w:ind w:left="763" w:hanging="588"/>
              <w:jc w:val="both"/>
            </w:pP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7</w:t>
            </w:r>
            <w:r>
              <w:rPr>
                <w:rFonts w:ascii="Times New Roman" w:eastAsia="標楷體" w:hAnsi="Times New Roman" w:cs="Times New Roman"/>
                <w:color w:val="000000"/>
                <w:szCs w:val="24"/>
              </w:rPr>
              <w:t>）學生獲選進入國家代表隊或直轄市、縣（市）代表隊（比賽獲獎者，母隊教練雖未列名秩序冊，評委會得斟酌給分）。</w:t>
            </w:r>
          </w:p>
          <w:p w:rsidR="00DF6F37" w:rsidRDefault="00B758A3">
            <w:pPr>
              <w:pStyle w:val="a6"/>
              <w:spacing w:line="260" w:lineRule="exact"/>
              <w:ind w:left="763" w:hanging="588"/>
              <w:jc w:val="both"/>
            </w:pP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8</w:t>
            </w:r>
            <w:r>
              <w:rPr>
                <w:rFonts w:ascii="Times New Roman" w:eastAsia="標楷體" w:hAnsi="Times New Roman" w:cs="Times New Roman"/>
                <w:color w:val="000000"/>
                <w:szCs w:val="24"/>
              </w:rPr>
              <w:t>）教練支援國家代表隊培訓工作。</w:t>
            </w:r>
          </w:p>
          <w:p w:rsidR="00DF6F37" w:rsidRDefault="00B758A3">
            <w:pPr>
              <w:pStyle w:val="a6"/>
              <w:spacing w:line="260" w:lineRule="exact"/>
              <w:ind w:left="180" w:hanging="180"/>
              <w:jc w:val="both"/>
            </w:pPr>
            <w:r>
              <w:rPr>
                <w:rFonts w:ascii="Times New Roman" w:eastAsia="標楷體" w:hAnsi="Times New Roman" w:cs="Times New Roman"/>
                <w:color w:val="000000"/>
                <w:szCs w:val="24"/>
              </w:rPr>
              <w:t>2.</w:t>
            </w:r>
            <w:r>
              <w:rPr>
                <w:rFonts w:ascii="Times New Roman" w:eastAsia="標楷體" w:hAnsi="Times New Roman" w:cs="Times New Roman"/>
                <w:color w:val="000000"/>
                <w:szCs w:val="24"/>
              </w:rPr>
              <w:t>評委會得視學校教育階段及團隊發展情形，就參賽及獲獎情形分別訂定給分基準。</w:t>
            </w:r>
          </w:p>
          <w:p w:rsidR="00DF6F37" w:rsidRDefault="00B758A3">
            <w:pPr>
              <w:pStyle w:val="a6"/>
              <w:spacing w:line="260" w:lineRule="exact"/>
              <w:ind w:left="180" w:hanging="180"/>
              <w:jc w:val="both"/>
            </w:pP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t>同一學生參加國際正式比賽獲獎，列計為教練之訓練或指導績效積分者，其各階段之培訓教練均得列計。</w:t>
            </w:r>
          </w:p>
          <w:p w:rsidR="00DF6F37" w:rsidRDefault="00B758A3">
            <w:pPr>
              <w:pStyle w:val="Standard"/>
              <w:widowControl/>
              <w:spacing w:line="260" w:lineRule="exact"/>
              <w:ind w:left="180" w:right="48" w:hanging="180"/>
              <w:jc w:val="both"/>
            </w:pPr>
            <w:r>
              <w:rPr>
                <w:rFonts w:ascii="Times New Roman" w:eastAsia="標楷體" w:hAnsi="Times New Roman" w:cs="Times New Roman"/>
                <w:color w:val="000000"/>
                <w:kern w:val="0"/>
                <w:szCs w:val="24"/>
              </w:rPr>
              <w:t>4.</w:t>
            </w:r>
            <w:r>
              <w:rPr>
                <w:rFonts w:ascii="Times New Roman" w:eastAsia="標楷體" w:hAnsi="Times New Roman" w:cs="Times New Roman"/>
                <w:color w:val="000000"/>
                <w:kern w:val="0"/>
                <w:szCs w:val="24"/>
              </w:rPr>
              <w:t>教練執行下列工作績效卓著時，得在訓練或指導績效百分之十範圍內專案加分：</w:t>
            </w:r>
          </w:p>
          <w:p w:rsidR="00DF6F37" w:rsidRDefault="00B758A3">
            <w:pPr>
              <w:pStyle w:val="Standard"/>
              <w:widowControl/>
              <w:spacing w:line="260" w:lineRule="exact"/>
              <w:ind w:left="840" w:right="45" w:hanging="840"/>
              <w:jc w:val="both"/>
            </w:pPr>
            <w:r>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1</w:t>
            </w:r>
            <w:r>
              <w:rPr>
                <w:rFonts w:ascii="Times New Roman" w:eastAsia="標楷體" w:hAnsi="Times New Roman" w:cs="Times New Roman"/>
                <w:color w:val="000000"/>
                <w:szCs w:val="24"/>
              </w:rPr>
              <w:t>）</w:t>
            </w:r>
            <w:r>
              <w:rPr>
                <w:rFonts w:ascii="Times New Roman" w:eastAsia="標楷體" w:hAnsi="Times New Roman" w:cs="Times New Roman"/>
                <w:color w:val="000000"/>
                <w:kern w:val="0"/>
                <w:szCs w:val="24"/>
              </w:rPr>
              <w:t>專業倫理、運動精神、品德教育、選手心理、選手課業、選手生活與生涯輔導及運動傷害防護與保健。</w:t>
            </w:r>
          </w:p>
          <w:p w:rsidR="00DF6F37" w:rsidRDefault="00B758A3">
            <w:pPr>
              <w:pStyle w:val="Standard"/>
              <w:widowControl/>
              <w:spacing w:line="260" w:lineRule="exact"/>
              <w:ind w:left="840" w:right="45" w:hanging="840"/>
              <w:jc w:val="both"/>
            </w:pPr>
            <w:r>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2</w:t>
            </w:r>
            <w:r>
              <w:rPr>
                <w:rFonts w:ascii="Times New Roman" w:eastAsia="標楷體" w:hAnsi="Times New Roman" w:cs="Times New Roman"/>
                <w:color w:val="000000"/>
                <w:szCs w:val="24"/>
              </w:rPr>
              <w:t>）教練依選手身體生理發展，輔導選手改練其他運動種類</w:t>
            </w:r>
            <w:r>
              <w:rPr>
                <w:rFonts w:ascii="標楷體" w:eastAsia="標楷體" w:hAnsi="標楷體" w:cs="Times New Roman"/>
                <w:color w:val="000000"/>
                <w:szCs w:val="24"/>
              </w:rPr>
              <w:t>（</w:t>
            </w:r>
            <w:r>
              <w:rPr>
                <w:rFonts w:ascii="Times New Roman" w:eastAsia="標楷體" w:hAnsi="Times New Roman" w:cs="Times New Roman"/>
                <w:color w:val="000000"/>
                <w:szCs w:val="24"/>
              </w:rPr>
              <w:t>項目</w:t>
            </w:r>
            <w:r>
              <w:rPr>
                <w:rFonts w:ascii="標楷體" w:eastAsia="標楷體" w:hAnsi="標楷體" w:cs="Times New Roman"/>
                <w:color w:val="000000"/>
                <w:szCs w:val="24"/>
              </w:rPr>
              <w:t>）</w:t>
            </w:r>
            <w:r>
              <w:rPr>
                <w:rFonts w:ascii="Times New Roman" w:eastAsia="標楷體" w:hAnsi="Times New Roman" w:cs="Times New Roman"/>
                <w:color w:val="000000"/>
                <w:szCs w:val="24"/>
              </w:rPr>
              <w:t>之成效。</w:t>
            </w:r>
          </w:p>
          <w:p w:rsidR="00DF6F37" w:rsidRDefault="00B758A3">
            <w:pPr>
              <w:pStyle w:val="Standard"/>
              <w:widowControl/>
              <w:spacing w:line="260" w:lineRule="exact"/>
              <w:ind w:left="180" w:right="48" w:hanging="180"/>
              <w:jc w:val="both"/>
            </w:pPr>
            <w:r>
              <w:rPr>
                <w:rFonts w:ascii="Times New Roman" w:eastAsia="標楷體" w:hAnsi="Times New Roman" w:cs="Times New Roman"/>
                <w:color w:val="000000"/>
                <w:kern w:val="0"/>
                <w:szCs w:val="24"/>
              </w:rPr>
              <w:t>5</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團體運動種類計算給分或加權方式，由評委會訂定之。</w:t>
            </w:r>
          </w:p>
        </w:tc>
      </w:tr>
      <w:tr w:rsidR="00DF6F37">
        <w:tblPrEx>
          <w:tblCellMar>
            <w:top w:w="0" w:type="dxa"/>
            <w:bottom w:w="0" w:type="dxa"/>
          </w:tblCellMar>
        </w:tblPrEx>
        <w:trPr>
          <w:trHeight w:val="1271"/>
        </w:trPr>
        <w:tc>
          <w:tcPr>
            <w:tcW w:w="1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F6F37" w:rsidRDefault="00B758A3">
            <w:pPr>
              <w:pStyle w:val="Standard"/>
              <w:spacing w:line="240" w:lineRule="exact"/>
              <w:jc w:val="center"/>
            </w:pPr>
            <w:r>
              <w:rPr>
                <w:rFonts w:ascii="Times New Roman" w:eastAsia="標楷體" w:hAnsi="Times New Roman" w:cs="Times New Roman"/>
                <w:color w:val="000000"/>
                <w:szCs w:val="24"/>
              </w:rPr>
              <w:t>專項運動推廣</w:t>
            </w:r>
          </w:p>
          <w:p w:rsidR="00DF6F37" w:rsidRDefault="00B758A3">
            <w:pPr>
              <w:pStyle w:val="Standard"/>
              <w:spacing w:line="240" w:lineRule="exact"/>
              <w:jc w:val="center"/>
            </w:pPr>
            <w:r>
              <w:rPr>
                <w:rFonts w:ascii="Times New Roman" w:eastAsia="標楷體" w:hAnsi="Times New Roman" w:cs="Times New Roman"/>
                <w:color w:val="000000"/>
                <w:szCs w:val="24"/>
              </w:rPr>
              <w:t>績效</w:t>
            </w:r>
          </w:p>
        </w:tc>
        <w:tc>
          <w:tcPr>
            <w:tcW w:w="5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F6F37" w:rsidRDefault="00B758A3">
            <w:pPr>
              <w:pStyle w:val="Standard"/>
              <w:spacing w:line="240" w:lineRule="exact"/>
              <w:jc w:val="center"/>
            </w:pPr>
            <w:r>
              <w:rPr>
                <w:rFonts w:ascii="Times New Roman" w:eastAsia="標楷體" w:hAnsi="Times New Roman" w:cs="Times New Roman"/>
                <w:color w:val="000000"/>
                <w:szCs w:val="24"/>
              </w:rPr>
              <w:t>50%</w:t>
            </w:r>
          </w:p>
        </w:tc>
        <w:tc>
          <w:tcPr>
            <w:tcW w:w="5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F6F37" w:rsidRDefault="00B758A3">
            <w:pPr>
              <w:pStyle w:val="Standard"/>
              <w:spacing w:line="240" w:lineRule="exact"/>
              <w:jc w:val="center"/>
            </w:pPr>
            <w:r>
              <w:rPr>
                <w:rFonts w:ascii="Times New Roman" w:eastAsia="標楷體" w:hAnsi="Times New Roman" w:cs="Times New Roman"/>
                <w:color w:val="000000"/>
                <w:szCs w:val="24"/>
              </w:rPr>
              <w:t>35%</w:t>
            </w:r>
          </w:p>
        </w:tc>
        <w:tc>
          <w:tcPr>
            <w:tcW w:w="6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F6F37" w:rsidRDefault="00B758A3">
            <w:pPr>
              <w:pStyle w:val="Standard"/>
              <w:spacing w:line="240" w:lineRule="exact"/>
              <w:jc w:val="center"/>
            </w:pPr>
            <w:r>
              <w:rPr>
                <w:rFonts w:ascii="Times New Roman" w:eastAsia="標楷體" w:hAnsi="Times New Roman" w:cs="Times New Roman"/>
                <w:color w:val="000000"/>
                <w:szCs w:val="24"/>
              </w:rPr>
              <w:t>20%</w:t>
            </w:r>
          </w:p>
        </w:tc>
        <w:tc>
          <w:tcPr>
            <w:tcW w:w="59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F6F37" w:rsidRDefault="00B758A3">
            <w:pPr>
              <w:pStyle w:val="Standard"/>
              <w:spacing w:line="260" w:lineRule="exact"/>
              <w:ind w:left="180" w:hanging="180"/>
              <w:jc w:val="both"/>
            </w:pPr>
            <w:r>
              <w:rPr>
                <w:rFonts w:ascii="Times New Roman" w:eastAsia="標楷體" w:hAnsi="Times New Roman" w:cs="Times New Roman"/>
                <w:color w:val="000000"/>
                <w:kern w:val="0"/>
                <w:szCs w:val="24"/>
              </w:rPr>
              <w:t>1.</w:t>
            </w:r>
            <w:r>
              <w:rPr>
                <w:rFonts w:ascii="Times New Roman" w:eastAsia="標楷體" w:hAnsi="Times New Roman" w:cs="Times New Roman"/>
                <w:color w:val="000000"/>
                <w:kern w:val="0"/>
                <w:szCs w:val="24"/>
              </w:rPr>
              <w:t>教練輔導學生畢業後繼續從事專項運動銜接之績效，所占本專項運動推廣績效比率，在國民小學不得低於</w:t>
            </w:r>
            <w:r>
              <w:rPr>
                <w:rFonts w:ascii="Times New Roman" w:eastAsia="標楷體" w:hAnsi="Times New Roman" w:cs="Times New Roman"/>
                <w:color w:val="000000"/>
                <w:kern w:val="0"/>
                <w:szCs w:val="24"/>
              </w:rPr>
              <w:t>40%</w:t>
            </w:r>
            <w:r>
              <w:rPr>
                <w:rFonts w:ascii="Times New Roman" w:eastAsia="標楷體" w:hAnsi="Times New Roman" w:cs="Times New Roman"/>
                <w:color w:val="000000"/>
                <w:kern w:val="0"/>
                <w:szCs w:val="24"/>
              </w:rPr>
              <w:t>，國民中學不得低於</w:t>
            </w:r>
            <w:r>
              <w:rPr>
                <w:rFonts w:ascii="Times New Roman" w:eastAsia="標楷體" w:hAnsi="Times New Roman" w:cs="Times New Roman"/>
                <w:color w:val="000000"/>
                <w:kern w:val="0"/>
                <w:szCs w:val="24"/>
              </w:rPr>
              <w:t>35%</w:t>
            </w:r>
            <w:r>
              <w:rPr>
                <w:rFonts w:ascii="Times New Roman" w:eastAsia="標楷體" w:hAnsi="Times New Roman" w:cs="Times New Roman"/>
                <w:color w:val="000000"/>
                <w:kern w:val="0"/>
                <w:szCs w:val="24"/>
              </w:rPr>
              <w:t>，高級中等學校不得低於</w:t>
            </w:r>
            <w:r>
              <w:rPr>
                <w:rFonts w:ascii="Times New Roman" w:eastAsia="標楷體" w:hAnsi="Times New Roman" w:cs="Times New Roman"/>
                <w:color w:val="000000"/>
                <w:kern w:val="0"/>
                <w:szCs w:val="24"/>
              </w:rPr>
              <w:t>20%</w:t>
            </w:r>
            <w:r>
              <w:rPr>
                <w:rFonts w:ascii="Times New Roman" w:eastAsia="標楷體" w:hAnsi="Times New Roman" w:cs="Times New Roman"/>
                <w:color w:val="000000"/>
                <w:kern w:val="0"/>
                <w:szCs w:val="24"/>
              </w:rPr>
              <w:t>為原則。</w:t>
            </w:r>
          </w:p>
          <w:p w:rsidR="00DF6F37" w:rsidRDefault="00B758A3">
            <w:pPr>
              <w:pStyle w:val="Standard"/>
              <w:spacing w:line="260" w:lineRule="exact"/>
              <w:ind w:left="180" w:hanging="180"/>
              <w:jc w:val="both"/>
            </w:pPr>
            <w:r>
              <w:rPr>
                <w:rFonts w:ascii="Times New Roman" w:eastAsia="標楷體" w:hAnsi="Times New Roman" w:cs="Times New Roman"/>
                <w:color w:val="000000"/>
                <w:kern w:val="0"/>
                <w:szCs w:val="24"/>
              </w:rPr>
              <w:t>2.</w:t>
            </w:r>
            <w:r>
              <w:rPr>
                <w:rFonts w:ascii="Times New Roman" w:eastAsia="標楷體" w:hAnsi="Times New Roman" w:cs="Times New Roman"/>
                <w:color w:val="000000"/>
                <w:kern w:val="0"/>
                <w:szCs w:val="24"/>
              </w:rPr>
              <w:t>協助專項運動社團組成與運作及支援專項運動賽會之工作。</w:t>
            </w:r>
          </w:p>
          <w:p w:rsidR="00DF6F37" w:rsidRDefault="00B758A3">
            <w:pPr>
              <w:pStyle w:val="Standard"/>
              <w:spacing w:line="260" w:lineRule="exact"/>
              <w:jc w:val="both"/>
            </w:pPr>
            <w:r>
              <w:rPr>
                <w:rFonts w:ascii="Times New Roman" w:eastAsia="標楷體" w:hAnsi="Times New Roman" w:cs="Times New Roman"/>
                <w:color w:val="000000"/>
                <w:kern w:val="0"/>
                <w:szCs w:val="24"/>
              </w:rPr>
              <w:t>3.</w:t>
            </w:r>
            <w:r>
              <w:rPr>
                <w:rFonts w:ascii="Times New Roman" w:eastAsia="標楷體" w:hAnsi="Times New Roman" w:cs="Times New Roman"/>
                <w:color w:val="000000"/>
                <w:kern w:val="0"/>
                <w:szCs w:val="24"/>
              </w:rPr>
              <w:t>協助學校推動每週一百五十分鐘課間活動。</w:t>
            </w:r>
          </w:p>
          <w:p w:rsidR="00DF6F37" w:rsidRDefault="00B758A3">
            <w:pPr>
              <w:pStyle w:val="Standard"/>
              <w:spacing w:line="260" w:lineRule="exact"/>
              <w:jc w:val="both"/>
            </w:pPr>
            <w:r>
              <w:rPr>
                <w:rFonts w:ascii="Times New Roman" w:eastAsia="標楷體" w:hAnsi="Times New Roman" w:cs="Times New Roman"/>
                <w:color w:val="000000"/>
                <w:kern w:val="0"/>
                <w:szCs w:val="24"/>
              </w:rPr>
              <w:t>4.</w:t>
            </w:r>
            <w:r>
              <w:rPr>
                <w:rFonts w:ascii="Times New Roman" w:eastAsia="標楷體" w:hAnsi="Times New Roman" w:cs="Times New Roman"/>
                <w:color w:val="000000"/>
                <w:kern w:val="0"/>
                <w:szCs w:val="24"/>
              </w:rPr>
              <w:t>參加運動科學研習會，且應用於訓練工作。</w:t>
            </w:r>
          </w:p>
        </w:tc>
      </w:tr>
      <w:tr w:rsidR="00DF6F37">
        <w:tblPrEx>
          <w:tblCellMar>
            <w:top w:w="0" w:type="dxa"/>
            <w:bottom w:w="0" w:type="dxa"/>
          </w:tblCellMar>
        </w:tblPrEx>
        <w:trPr>
          <w:trHeight w:val="832"/>
        </w:trPr>
        <w:tc>
          <w:tcPr>
            <w:tcW w:w="1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F6F37" w:rsidRDefault="00B758A3">
            <w:pPr>
              <w:pStyle w:val="Standard"/>
              <w:spacing w:line="240" w:lineRule="exact"/>
              <w:jc w:val="center"/>
            </w:pPr>
            <w:r>
              <w:rPr>
                <w:rFonts w:ascii="Times New Roman" w:eastAsia="標楷體" w:hAnsi="Times New Roman" w:cs="Times New Roman"/>
                <w:color w:val="000000"/>
                <w:szCs w:val="24"/>
              </w:rPr>
              <w:t>年度成績考核</w:t>
            </w:r>
          </w:p>
        </w:tc>
        <w:tc>
          <w:tcPr>
            <w:tcW w:w="17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F6F37" w:rsidRDefault="00B758A3">
            <w:pPr>
              <w:pStyle w:val="Standard"/>
              <w:spacing w:line="240" w:lineRule="exact"/>
              <w:jc w:val="center"/>
            </w:pPr>
            <w:r>
              <w:rPr>
                <w:rFonts w:ascii="Times New Roman" w:eastAsia="標楷體" w:hAnsi="Times New Roman" w:cs="Times New Roman"/>
                <w:color w:val="000000"/>
                <w:szCs w:val="24"/>
              </w:rPr>
              <w:t>15%</w:t>
            </w:r>
          </w:p>
        </w:tc>
        <w:tc>
          <w:tcPr>
            <w:tcW w:w="59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F6F37" w:rsidRDefault="00B758A3">
            <w:pPr>
              <w:pStyle w:val="Standard"/>
              <w:spacing w:line="260" w:lineRule="exact"/>
              <w:jc w:val="both"/>
            </w:pPr>
            <w:r>
              <w:rPr>
                <w:rFonts w:ascii="Times New Roman" w:eastAsia="標楷體" w:hAnsi="Times New Roman" w:cs="Times New Roman"/>
                <w:color w:val="000000"/>
                <w:szCs w:val="24"/>
              </w:rPr>
              <w:t>教練之成績考核，依各級學校專任運動教練聘任管理辦法第二十條規定辦理，並以最近三個成績考核學年度作為受績效評量之年度成績考核計算。</w:t>
            </w:r>
          </w:p>
        </w:tc>
      </w:tr>
      <w:tr w:rsidR="00DF6F37">
        <w:tblPrEx>
          <w:tblCellMar>
            <w:top w:w="0" w:type="dxa"/>
            <w:bottom w:w="0" w:type="dxa"/>
          </w:tblCellMar>
        </w:tblPrEx>
        <w:trPr>
          <w:trHeight w:val="732"/>
        </w:trPr>
        <w:tc>
          <w:tcPr>
            <w:tcW w:w="1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F6F37" w:rsidRDefault="00B758A3">
            <w:pPr>
              <w:pStyle w:val="Standard"/>
              <w:spacing w:line="240" w:lineRule="exact"/>
              <w:jc w:val="center"/>
            </w:pPr>
            <w:r>
              <w:rPr>
                <w:rFonts w:ascii="Times New Roman" w:eastAsia="標楷體" w:hAnsi="Times New Roman" w:cs="Times New Roman"/>
                <w:color w:val="000000"/>
                <w:szCs w:val="24"/>
              </w:rPr>
              <w:t>總計</w:t>
            </w:r>
          </w:p>
        </w:tc>
        <w:tc>
          <w:tcPr>
            <w:tcW w:w="17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F6F37" w:rsidRDefault="00B758A3">
            <w:pPr>
              <w:pStyle w:val="Standard"/>
              <w:spacing w:line="240" w:lineRule="exact"/>
              <w:jc w:val="center"/>
            </w:pPr>
            <w:r>
              <w:rPr>
                <w:rFonts w:ascii="Times New Roman" w:eastAsia="標楷體" w:hAnsi="Times New Roman" w:cs="Times New Roman"/>
                <w:color w:val="000000"/>
                <w:szCs w:val="24"/>
              </w:rPr>
              <w:t>100%</w:t>
            </w:r>
          </w:p>
        </w:tc>
        <w:tc>
          <w:tcPr>
            <w:tcW w:w="59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F6F37" w:rsidRDefault="00DF6F37">
            <w:pPr>
              <w:pStyle w:val="Standard"/>
              <w:spacing w:line="240" w:lineRule="exact"/>
              <w:jc w:val="center"/>
              <w:rPr>
                <w:rFonts w:ascii="Times New Roman" w:eastAsia="標楷體" w:hAnsi="Times New Roman" w:cs="Times New Roman"/>
                <w:color w:val="000000"/>
              </w:rPr>
            </w:pPr>
          </w:p>
        </w:tc>
      </w:tr>
    </w:tbl>
    <w:p w:rsidR="00DF6F37" w:rsidRDefault="00B82437">
      <w:pPr>
        <w:pStyle w:val="Standard"/>
      </w:pPr>
      <w:r>
        <w:rPr>
          <w:noProof/>
        </w:rPr>
        <mc:AlternateContent>
          <mc:Choice Requires="wps">
            <w:drawing>
              <wp:anchor distT="0" distB="0" distL="114300" distR="114300" simplePos="0" relativeHeight="251659264" behindDoc="0" locked="0" layoutInCell="1" allowOverlap="1">
                <wp:simplePos x="0" y="0"/>
                <wp:positionH relativeFrom="column">
                  <wp:posOffset>-1080135</wp:posOffset>
                </wp:positionH>
                <wp:positionV relativeFrom="paragraph">
                  <wp:posOffset>-9528810</wp:posOffset>
                </wp:positionV>
                <wp:extent cx="914400" cy="914400"/>
                <wp:effectExtent l="9525" t="952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DF6F37" w:rsidRDefault="00DF6F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5.05pt;margin-top:-750.3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">
                <v:textbox>
                  <w:txbxContent>
                    <w:p w:rsidR="00DF6F37" w:rsidRDefault="00DF6F37"/>
                  </w:txbxContent>
                </v:textbox>
              </v:shape>
            </w:pict>
          </mc:Fallback>
        </mc:AlternateContent>
      </w:r>
    </w:p>
    <w:sectPr w:rsidR="00DF6F37">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95A" w:rsidRDefault="00B6795A">
      <w:r>
        <w:separator/>
      </w:r>
    </w:p>
  </w:endnote>
  <w:endnote w:type="continuationSeparator" w:id="0">
    <w:p w:rsidR="00B6795A" w:rsidRDefault="00B6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95A" w:rsidRDefault="00B6795A">
      <w:r>
        <w:rPr>
          <w:color w:val="000000"/>
        </w:rPr>
        <w:separator/>
      </w:r>
    </w:p>
  </w:footnote>
  <w:footnote w:type="continuationSeparator" w:id="0">
    <w:p w:rsidR="00B6795A" w:rsidRDefault="00B67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B6220"/>
    <w:multiLevelType w:val="multilevel"/>
    <w:tmpl w:val="5948B540"/>
    <w:styleLink w:val="WWNum1"/>
    <w:lvl w:ilvl="0">
      <w:start w:val="1"/>
      <w:numFmt w:val="japaneseCounting"/>
      <w:lvlText w:val="%1、"/>
      <w:lvlJc w:val="left"/>
      <w:rPr>
        <w:color w:val="000000"/>
        <w:u w:val="non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5C904939"/>
    <w:multiLevelType w:val="multilevel"/>
    <w:tmpl w:val="8BF0D8AA"/>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63FC0F9A"/>
    <w:multiLevelType w:val="multilevel"/>
    <w:tmpl w:val="8A02F042"/>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F37"/>
    <w:rsid w:val="00B6795A"/>
    <w:rsid w:val="00B758A3"/>
    <w:rsid w:val="00B82437"/>
    <w:rsid w:val="00DF6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2"/>
    </w:r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No Spacing"/>
    <w:pPr>
      <w:widowControl w:val="0"/>
      <w:suppressAutoHyphens/>
      <w:autoSpaceDN w:val="0"/>
      <w:textAlignment w:val="baseline"/>
    </w:pPr>
    <w:rPr>
      <w:kern w:val="3"/>
      <w:sz w:val="24"/>
      <w:szCs w:val="22"/>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Balloon Text"/>
    <w:basedOn w:val="Textbody"/>
    <w:rPr>
      <w:rFonts w:ascii="Calibri Light" w:hAnsi="Calibri Light" w:cs="Times New Roman"/>
      <w:sz w:val="18"/>
      <w:szCs w:val="18"/>
    </w:rPr>
  </w:style>
  <w:style w:type="paragraph" w:customStyle="1" w:styleId="TableContents">
    <w:name w:val="Table Contents"/>
    <w:basedOn w:val="Standard"/>
    <w:pPr>
      <w:suppressLineNumbers/>
    </w:pPr>
  </w:style>
  <w:style w:type="character" w:customStyle="1" w:styleId="aa">
    <w:name w:val="頁首 字元"/>
    <w:rPr>
      <w:sz w:val="20"/>
      <w:szCs w:val="20"/>
    </w:rPr>
  </w:style>
  <w:style w:type="character" w:customStyle="1" w:styleId="ab">
    <w:name w:val="頁尾 字元"/>
    <w:rPr>
      <w:sz w:val="20"/>
      <w:szCs w:val="20"/>
    </w:rPr>
  </w:style>
  <w:style w:type="character" w:customStyle="1" w:styleId="ListLabel1">
    <w:name w:val="ListLabel 1"/>
    <w:rPr>
      <w:color w:val="000000"/>
      <w:u w:val="none"/>
    </w:rPr>
  </w:style>
  <w:style w:type="character" w:customStyle="1" w:styleId="ac">
    <w:name w:val="註解方塊文字 字元"/>
    <w:rPr>
      <w:rFonts w:ascii="Calibri Light" w:eastAsia="新細明體" w:hAnsi="Calibri Light" w:cs="Times New Roman"/>
      <w:sz w:val="18"/>
      <w:szCs w:val="1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2"/>
    </w:r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No Spacing"/>
    <w:pPr>
      <w:widowControl w:val="0"/>
      <w:suppressAutoHyphens/>
      <w:autoSpaceDN w:val="0"/>
      <w:textAlignment w:val="baseline"/>
    </w:pPr>
    <w:rPr>
      <w:kern w:val="3"/>
      <w:sz w:val="24"/>
      <w:szCs w:val="22"/>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Balloon Text"/>
    <w:basedOn w:val="Textbody"/>
    <w:rPr>
      <w:rFonts w:ascii="Calibri Light" w:hAnsi="Calibri Light" w:cs="Times New Roman"/>
      <w:sz w:val="18"/>
      <w:szCs w:val="18"/>
    </w:rPr>
  </w:style>
  <w:style w:type="paragraph" w:customStyle="1" w:styleId="TableContents">
    <w:name w:val="Table Contents"/>
    <w:basedOn w:val="Standard"/>
    <w:pPr>
      <w:suppressLineNumbers/>
    </w:pPr>
  </w:style>
  <w:style w:type="character" w:customStyle="1" w:styleId="aa">
    <w:name w:val="頁首 字元"/>
    <w:rPr>
      <w:sz w:val="20"/>
      <w:szCs w:val="20"/>
    </w:rPr>
  </w:style>
  <w:style w:type="character" w:customStyle="1" w:styleId="ab">
    <w:name w:val="頁尾 字元"/>
    <w:rPr>
      <w:sz w:val="20"/>
      <w:szCs w:val="20"/>
    </w:rPr>
  </w:style>
  <w:style w:type="character" w:customStyle="1" w:styleId="ListLabel1">
    <w:name w:val="ListLabel 1"/>
    <w:rPr>
      <w:color w:val="000000"/>
      <w:u w:val="none"/>
    </w:rPr>
  </w:style>
  <w:style w:type="character" w:customStyle="1" w:styleId="ac">
    <w:name w:val="註解方塊文字 字元"/>
    <w:rPr>
      <w:rFonts w:ascii="Calibri Light" w:eastAsia="新細明體" w:hAnsi="Calibri Light" w:cs="Times New Roman"/>
      <w:sz w:val="18"/>
      <w:szCs w:val="1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eic61CD.tmp/OpenTmp/LINK3.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0259 楊金昌</dc:creator>
  <cp:lastModifiedBy>bses4620</cp:lastModifiedBy>
  <cp:revision>1</cp:revision>
  <cp:lastPrinted>2016-05-24T10:28:00Z</cp:lastPrinted>
  <dcterms:created xsi:type="dcterms:W3CDTF">2016-05-16T22:59:00Z</dcterms:created>
  <dcterms:modified xsi:type="dcterms:W3CDTF">2016-06-14T10:15:00Z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