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6414CD">
        <w:rPr>
          <w:rFonts w:hAnsi="標楷體" w:hint="eastAsia"/>
          <w:b/>
          <w:sz w:val="32"/>
          <w:szCs w:val="32"/>
        </w:rPr>
        <w:t>實施計畫</w:t>
      </w:r>
      <w:bookmarkEnd w:id="9"/>
    </w:p>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6CB370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6414CD">
        <w:rPr>
          <w:rFonts w:ascii="標楷體" w:hAnsi="標楷體"/>
          <w:sz w:val="24"/>
          <w:szCs w:val="24"/>
        </w:rPr>
        <w:t>105</w:t>
      </w:r>
      <w:r w:rsidRPr="006414CD">
        <w:rPr>
          <w:rFonts w:ascii="標楷體" w:hAnsi="標楷體" w:hint="eastAsia"/>
          <w:sz w:val="24"/>
          <w:szCs w:val="24"/>
        </w:rPr>
        <w:t>年</w:t>
      </w:r>
      <w:r w:rsidR="00562371" w:rsidRPr="006414CD">
        <w:rPr>
          <w:rFonts w:ascii="標楷體" w:hAnsi="標楷體" w:hint="eastAsia"/>
          <w:sz w:val="24"/>
          <w:szCs w:val="24"/>
        </w:rPr>
        <w:t>7</w:t>
      </w:r>
      <w:r w:rsidR="00594116" w:rsidRPr="006414CD">
        <w:rPr>
          <w:rFonts w:ascii="標楷體" w:hAnsi="標楷體" w:hint="eastAsia"/>
          <w:sz w:val="24"/>
          <w:szCs w:val="24"/>
        </w:rPr>
        <w:t>月</w:t>
      </w:r>
      <w:r w:rsidR="00562371" w:rsidRPr="006414CD">
        <w:rPr>
          <w:rFonts w:ascii="標楷體" w:hAnsi="標楷體" w:hint="eastAsia"/>
          <w:sz w:val="24"/>
          <w:szCs w:val="24"/>
        </w:rPr>
        <w:t>31</w:t>
      </w:r>
      <w:r w:rsidR="00594116" w:rsidRPr="006414CD">
        <w:rPr>
          <w:rFonts w:ascii="標楷體" w:hAnsi="標楷體" w:hint="eastAsia"/>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7F97072C"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04A3D225"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562371" w:rsidRPr="006414CD">
        <w:rPr>
          <w:rFonts w:ascii="標楷體" w:hAnsi="標楷體" w:hint="eastAsia"/>
          <w:b/>
          <w:sz w:val="24"/>
          <w:szCs w:val="24"/>
        </w:rPr>
        <w:t>7</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9FD8" w14:textId="77777777" w:rsidR="000E7402" w:rsidRDefault="000E7402" w:rsidP="00886904">
      <w:r>
        <w:separator/>
      </w:r>
    </w:p>
  </w:endnote>
  <w:endnote w:type="continuationSeparator" w:id="0">
    <w:p w14:paraId="60A4DA79" w14:textId="77777777" w:rsidR="000E7402" w:rsidRDefault="000E7402"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AE2B74" w:rsidRPr="00AE2B74">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41E50" w14:textId="77777777" w:rsidR="000E7402" w:rsidRDefault="000E7402" w:rsidP="00886904">
      <w:r>
        <w:separator/>
      </w:r>
    </w:p>
  </w:footnote>
  <w:footnote w:type="continuationSeparator" w:id="0">
    <w:p w14:paraId="27F2477D" w14:textId="77777777" w:rsidR="000E7402" w:rsidRDefault="000E7402"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E7402"/>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C1CCF"/>
    <w:rsid w:val="00AC514E"/>
    <w:rsid w:val="00AC5960"/>
    <w:rsid w:val="00AE2B74"/>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583</Words>
  <Characters>3326</Characters>
  <Application>Microsoft Office Word</Application>
  <DocSecurity>0</DocSecurity>
  <Lines>27</Lines>
  <Paragraphs>7</Paragraphs>
  <ScaleCrop>false</ScaleCrop>
  <Company>SYNNEX</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2016-03-14T02:14:00Z</dcterms:created>
  <dcterms:modified xsi:type="dcterms:W3CDTF">2016-03-14T02:14:00Z</dcterms:modified>
</cp:coreProperties>
</file>