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39" w:rsidRDefault="00761539" w:rsidP="00AF06B0">
      <w:pPr>
        <w:jc w:val="center"/>
        <w:rPr>
          <w:rFonts w:ascii="標楷體" w:eastAsia="標楷體" w:hAnsi="標楷體"/>
          <w:sz w:val="32"/>
          <w:szCs w:val="32"/>
        </w:rPr>
      </w:pPr>
      <w:r w:rsidRPr="00AF06B0">
        <w:rPr>
          <w:rFonts w:ascii="標楷體" w:eastAsia="標楷體" w:hAnsi="標楷體" w:hint="eastAsia"/>
          <w:sz w:val="32"/>
          <w:szCs w:val="32"/>
        </w:rPr>
        <w:t>臺南市立</w:t>
      </w:r>
      <w:r>
        <w:rPr>
          <w:rFonts w:ascii="標楷體" w:eastAsia="標楷體" w:hAnsi="標楷體" w:hint="eastAsia"/>
          <w:sz w:val="32"/>
          <w:szCs w:val="32"/>
        </w:rPr>
        <w:t>建興</w:t>
      </w:r>
      <w:r w:rsidRPr="00AF06B0">
        <w:rPr>
          <w:rFonts w:ascii="標楷體" w:eastAsia="標楷體" w:hAnsi="標楷體" w:hint="eastAsia"/>
          <w:sz w:val="32"/>
          <w:szCs w:val="32"/>
        </w:rPr>
        <w:t>國中</w:t>
      </w:r>
      <w:r w:rsidRPr="00AF06B0">
        <w:rPr>
          <w:rFonts w:ascii="標楷體" w:eastAsia="標楷體" w:hAnsi="標楷體"/>
          <w:sz w:val="32"/>
          <w:szCs w:val="32"/>
        </w:rPr>
        <w:t>104</w:t>
      </w:r>
      <w:r w:rsidRPr="00AF06B0">
        <w:rPr>
          <w:rFonts w:ascii="標楷體" w:eastAsia="標楷體" w:hAnsi="標楷體" w:hint="eastAsia"/>
          <w:sz w:val="32"/>
          <w:szCs w:val="32"/>
        </w:rPr>
        <w:t>學年度環境教育</w:t>
      </w:r>
      <w:r>
        <w:rPr>
          <w:rFonts w:ascii="標楷體" w:eastAsia="標楷體" w:hAnsi="標楷體" w:hint="eastAsia"/>
          <w:sz w:val="32"/>
          <w:szCs w:val="32"/>
        </w:rPr>
        <w:t>教師網上研習</w:t>
      </w:r>
      <w:r w:rsidRPr="00AF06B0">
        <w:rPr>
          <w:rFonts w:ascii="標楷體" w:eastAsia="標楷體" w:hAnsi="標楷體" w:hint="eastAsia"/>
          <w:sz w:val="32"/>
          <w:szCs w:val="32"/>
        </w:rPr>
        <w:t>辦法</w:t>
      </w:r>
    </w:p>
    <w:p w:rsidR="00761539" w:rsidRDefault="00761539" w:rsidP="00AF06B0">
      <w:pPr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依據台南市政府環保局</w:t>
      </w:r>
      <w:r w:rsidRPr="00AF06B0">
        <w:rPr>
          <w:rFonts w:ascii="標楷體" w:eastAsia="標楷體" w:hAnsi="標楷體" w:cs="DFKaiShu-SB-Estd-BF"/>
          <w:kern w:val="0"/>
          <w:szCs w:val="24"/>
        </w:rPr>
        <w:t>104</w:t>
      </w:r>
      <w:r w:rsidRPr="00AF06B0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AF06B0">
        <w:rPr>
          <w:rFonts w:ascii="標楷體" w:eastAsia="標楷體" w:hAnsi="標楷體" w:cs="DFKaiShu-SB-Estd-BF"/>
          <w:kern w:val="0"/>
          <w:szCs w:val="24"/>
        </w:rPr>
        <w:t>8</w:t>
      </w:r>
      <w:r w:rsidRPr="00AF06B0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AF06B0">
        <w:rPr>
          <w:rFonts w:ascii="標楷體" w:eastAsia="標楷體" w:hAnsi="標楷體" w:cs="DFKaiShu-SB-Estd-BF"/>
          <w:kern w:val="0"/>
          <w:szCs w:val="24"/>
        </w:rPr>
        <w:t>19</w:t>
      </w:r>
      <w:r w:rsidRPr="00AF06B0">
        <w:rPr>
          <w:rFonts w:ascii="標楷體" w:eastAsia="標楷體" w:hAnsi="標楷體" w:cs="DFKaiShu-SB-Estd-BF" w:hint="eastAsia"/>
          <w:kern w:val="0"/>
          <w:szCs w:val="24"/>
        </w:rPr>
        <w:t>日府環綜字第</w:t>
      </w:r>
      <w:r w:rsidRPr="00AF06B0">
        <w:rPr>
          <w:rFonts w:ascii="標楷體" w:eastAsia="標楷體" w:hAnsi="標楷體" w:cs="DFKaiShu-SB-Estd-BF"/>
          <w:kern w:val="0"/>
          <w:szCs w:val="24"/>
        </w:rPr>
        <w:t>1040819389</w:t>
      </w:r>
      <w:r w:rsidRPr="00AF06B0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函辦理。</w:t>
      </w:r>
    </w:p>
    <w:p w:rsidR="00761539" w:rsidRDefault="00761539" w:rsidP="005329EE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依據環境教育法第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19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條第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項規定，各機關所有員工（為其投保且當年度工</w:t>
      </w:r>
    </w:p>
    <w:p w:rsidR="00761539" w:rsidRDefault="00761539" w:rsidP="005329EE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作滿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個月以上）與師生均應於每年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31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日以前參加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小時以上環境教育，</w:t>
      </w:r>
    </w:p>
    <w:p w:rsidR="00761539" w:rsidRDefault="00761539" w:rsidP="005329EE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並於翌年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31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日以前，以網路申報方式提報當年度環境教育執行成果。</w:t>
      </w:r>
    </w:p>
    <w:p w:rsidR="00761539" w:rsidRDefault="00761539" w:rsidP="00C27049">
      <w:pPr>
        <w:autoSpaceDE w:val="0"/>
        <w:autoSpaceDN w:val="0"/>
        <w:adjustRightInd w:val="0"/>
        <w:spacing w:beforeLines="50"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倘違反前開規定，經主管機關命其限期辦理，屆期未辦理者，處新臺幣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5,000</w:t>
      </w:r>
    </w:p>
    <w:p w:rsidR="00761539" w:rsidRDefault="00761539" w:rsidP="005329EE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元以上</w:t>
      </w:r>
      <w:r w:rsidRPr="005329EE">
        <w:rPr>
          <w:rFonts w:ascii="標楷體" w:eastAsia="標楷體" w:hAnsi="標楷體" w:cs="DFKaiShu-SB-Estd-BF"/>
          <w:kern w:val="0"/>
          <w:sz w:val="28"/>
          <w:szCs w:val="28"/>
        </w:rPr>
        <w:t>15,000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元以下罰鍰。</w:t>
      </w:r>
    </w:p>
    <w:p w:rsidR="00761539" w:rsidRDefault="00761539" w:rsidP="00C27049">
      <w:pPr>
        <w:autoSpaceDE w:val="0"/>
        <w:autoSpaceDN w:val="0"/>
        <w:adjustRightInd w:val="0"/>
        <w:spacing w:beforeLines="50"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全校教職員公可上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行政院環境保護署環境教育終身學習網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自主學習環境教育</w:t>
      </w:r>
    </w:p>
    <w:p w:rsidR="00761539" w:rsidRDefault="00761539" w:rsidP="005329EE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相關議題。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以觀賞影片為主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761539" w:rsidRDefault="00761539" w:rsidP="00F56046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相關連結：</w:t>
      </w:r>
      <w:hyperlink r:id="rId6" w:anchor="MTop" w:history="1">
        <w:r w:rsidRPr="002A326D">
          <w:rPr>
            <w:rStyle w:val="Hyperlink"/>
            <w:rFonts w:ascii="Times New Roman" w:eastAsia="標楷體" w:hAnsi="Times New Roman"/>
            <w:kern w:val="0"/>
            <w:sz w:val="28"/>
            <w:szCs w:val="28"/>
          </w:rPr>
          <w:t>http://elearn.epa.gov.tw/DigitalLearning/Default.aspx#MTop</w:t>
        </w:r>
      </w:hyperlink>
    </w:p>
    <w:p w:rsidR="00761539" w:rsidRDefault="00761539" w:rsidP="0097360A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6.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若沒有帳號，可先註冊，而後可參考下圖流程，便可順利觀賞影片，取得相</w:t>
      </w:r>
    </w:p>
    <w:p w:rsidR="00761539" w:rsidRDefault="00761539" w:rsidP="0097360A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關環境教育研習時數。</w:t>
      </w:r>
    </w:p>
    <w:p w:rsidR="00761539" w:rsidRDefault="00761539" w:rsidP="00C27049">
      <w:pPr>
        <w:autoSpaceDE w:val="0"/>
        <w:autoSpaceDN w:val="0"/>
        <w:adjustRightInd w:val="0"/>
        <w:spacing w:beforeLines="50" w:line="240" w:lineRule="atLeast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7.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網站研習註冊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</w:p>
    <w:p w:rsidR="00761539" w:rsidRDefault="00761539" w:rsidP="00C27049">
      <w:pPr>
        <w:autoSpaceDE w:val="0"/>
        <w:autoSpaceDN w:val="0"/>
        <w:adjustRightInd w:val="0"/>
        <w:spacing w:beforeLines="50" w:line="240" w:lineRule="atLeast"/>
        <w:rPr>
          <w:rFonts w:ascii="Times New Roman" w:eastAsia="標楷體" w:hAnsi="Times New Roman"/>
          <w:sz w:val="28"/>
          <w:szCs w:val="28"/>
        </w:rPr>
      </w:pPr>
      <w:r w:rsidRPr="00E1364E">
        <w:rPr>
          <w:rFonts w:ascii="Times New Roman" w:eastAsia="標楷體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77.6pt;height:321pt;visibility:visible">
            <v:imagedata r:id="rId7" o:title=""/>
          </v:shape>
        </w:pict>
      </w:r>
    </w:p>
    <w:p w:rsidR="00761539" w:rsidRPr="002A4AA6" w:rsidRDefault="00761539" w:rsidP="00C27049">
      <w:pPr>
        <w:autoSpaceDE w:val="0"/>
        <w:autoSpaceDN w:val="0"/>
        <w:adjustRightInd w:val="0"/>
        <w:spacing w:beforeLines="50" w:line="24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8.</w:t>
      </w:r>
      <w:r w:rsidRPr="002A4AA6">
        <w:t xml:space="preserve"> </w:t>
      </w:r>
      <w:r w:rsidRPr="002A4AA6">
        <w:rPr>
          <w:rFonts w:ascii="Times New Roman" w:eastAsia="標楷體" w:hAnsi="Times New Roman" w:hint="eastAsia"/>
          <w:sz w:val="28"/>
          <w:szCs w:val="28"/>
        </w:rPr>
        <w:t>低碳相關研習網址</w:t>
      </w:r>
      <w:r w:rsidRPr="002A4AA6">
        <w:rPr>
          <w:rFonts w:ascii="Times New Roman" w:eastAsia="標楷體" w:hAnsi="Times New Roman"/>
          <w:sz w:val="28"/>
          <w:szCs w:val="28"/>
        </w:rPr>
        <w:t>:</w:t>
      </w:r>
    </w:p>
    <w:p w:rsidR="00761539" w:rsidRDefault="00761539" w:rsidP="005D71AB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(</w:t>
      </w:r>
      <w:r w:rsidRPr="002A4AA6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5329EE">
        <w:rPr>
          <w:rFonts w:ascii="標楷體" w:eastAsia="標楷體" w:hAnsi="標楷體" w:cs="DFKaiShu-SB-Estd-BF" w:hint="eastAsia"/>
          <w:kern w:val="0"/>
          <w:sz w:val="28"/>
          <w:szCs w:val="28"/>
        </w:rPr>
        <w:t>行政院環境保護署環境教育終身學習網</w:t>
      </w:r>
    </w:p>
    <w:p w:rsidR="00761539" w:rsidRDefault="00761539" w:rsidP="005D71AB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學習資訊的影片專區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~~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觀看低碳環境教育影片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3177"/>
        <w:gridCol w:w="3286"/>
      </w:tblGrid>
      <w:tr w:rsidR="00761539" w:rsidTr="00497E10">
        <w:tc>
          <w:tcPr>
            <w:tcW w:w="3231" w:type="dxa"/>
          </w:tcPr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97E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影片專區網頁第一頁</w:t>
            </w:r>
          </w:p>
        </w:tc>
        <w:tc>
          <w:tcPr>
            <w:tcW w:w="3177" w:type="dxa"/>
          </w:tcPr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97E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影片專區網頁第二頁</w:t>
            </w:r>
          </w:p>
        </w:tc>
        <w:tc>
          <w:tcPr>
            <w:tcW w:w="3286" w:type="dxa"/>
          </w:tcPr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97E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影片專區網頁第三頁</w:t>
            </w:r>
          </w:p>
        </w:tc>
      </w:tr>
      <w:tr w:rsidR="00761539" w:rsidTr="00497E10">
        <w:tc>
          <w:tcPr>
            <w:tcW w:w="3231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※看見臺南第四集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台語版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177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※看見臺南第三集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國語版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286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※淨土共存：候鳥帶來的福音</w:t>
            </w:r>
          </w:p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761539" w:rsidTr="00497E10">
        <w:tc>
          <w:tcPr>
            <w:tcW w:w="3231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※看見臺南第四集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國語版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177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※賴在成龍溼地的候鳥</w:t>
            </w:r>
          </w:p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286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※生命之歌：鰲鼓溼地森林園區</w:t>
            </w:r>
          </w:p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761539" w:rsidTr="00497E10">
        <w:tc>
          <w:tcPr>
            <w:tcW w:w="3231" w:type="dxa"/>
          </w:tcPr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177" w:type="dxa"/>
          </w:tcPr>
          <w:p w:rsidR="00761539" w:rsidRPr="00497E10" w:rsidRDefault="00761539" w:rsidP="0026669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497E10">
              <w:rPr>
                <w:rFonts w:ascii="標楷體" w:eastAsia="標楷體" w:hAnsi="標楷體"/>
                <w:color w:val="000000"/>
                <w:szCs w:val="24"/>
              </w:rPr>
              <w:t xml:space="preserve">Green touch </w:t>
            </w:r>
            <w:r w:rsidRPr="00497E10">
              <w:rPr>
                <w:rFonts w:ascii="標楷體" w:eastAsia="標楷體" w:hAnsi="標楷體" w:hint="eastAsia"/>
                <w:color w:val="000000"/>
                <w:szCs w:val="24"/>
              </w:rPr>
              <w:t>邁向綠色永續未來</w:t>
            </w:r>
          </w:p>
        </w:tc>
        <w:tc>
          <w:tcPr>
            <w:tcW w:w="3286" w:type="dxa"/>
          </w:tcPr>
          <w:p w:rsidR="00761539" w:rsidRPr="00497E10" w:rsidRDefault="00761539" w:rsidP="00497E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761539" w:rsidRDefault="00761539" w:rsidP="00C44E24">
      <w:pPr>
        <w:autoSpaceDE w:val="0"/>
        <w:autoSpaceDN w:val="0"/>
        <w:adjustRightInd w:val="0"/>
        <w:spacing w:line="240" w:lineRule="atLeast"/>
      </w:pPr>
      <w:r>
        <w:t xml:space="preserve"> </w:t>
      </w:r>
    </w:p>
    <w:p w:rsidR="00761539" w:rsidRPr="002A4AA6" w:rsidRDefault="00761539" w:rsidP="00DB0454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sz w:val="28"/>
          <w:szCs w:val="28"/>
        </w:rPr>
      </w:pPr>
      <w:r>
        <w:t xml:space="preserve">  (2)  </w:t>
      </w:r>
      <w:r w:rsidRPr="002A4AA6">
        <w:rPr>
          <w:rFonts w:ascii="Times New Roman" w:eastAsia="標楷體" w:hAnsi="Times New Roman"/>
          <w:sz w:val="28"/>
          <w:szCs w:val="28"/>
        </w:rPr>
        <w:t>e</w:t>
      </w:r>
      <w:r w:rsidRPr="002A4AA6">
        <w:rPr>
          <w:rFonts w:ascii="Times New Roman" w:eastAsia="標楷體" w:hAnsi="Times New Roman" w:hint="eastAsia"/>
          <w:sz w:val="28"/>
          <w:szCs w:val="28"/>
        </w:rPr>
        <w:t>學中心</w:t>
      </w:r>
      <w:r w:rsidRPr="002A4AA6">
        <w:rPr>
          <w:rFonts w:ascii="Times New Roman" w:eastAsia="標楷體" w:hAnsi="Times New Roman"/>
          <w:sz w:val="28"/>
          <w:szCs w:val="28"/>
        </w:rPr>
        <w:t xml:space="preserve">:   </w:t>
      </w:r>
      <w:r w:rsidRPr="002A4AA6">
        <w:rPr>
          <w:rFonts w:ascii="Times New Roman" w:eastAsia="標楷體" w:hAnsi="Times New Roman" w:hint="eastAsia"/>
          <w:sz w:val="28"/>
          <w:szCs w:val="28"/>
        </w:rPr>
        <w:t>低碳健康行一起來蔬飲</w:t>
      </w:r>
    </w:p>
    <w:p w:rsidR="00761539" w:rsidRDefault="00761539" w:rsidP="00DB0454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2A4AA6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2A4AA6">
        <w:rPr>
          <w:rFonts w:ascii="Times New Roman" w:eastAsia="標楷體" w:hAnsi="Times New Roman" w:hint="eastAsia"/>
          <w:sz w:val="28"/>
          <w:szCs w:val="28"/>
        </w:rPr>
        <w:t>相關連結</w:t>
      </w:r>
      <w:r w:rsidRPr="002A4AA6">
        <w:rPr>
          <w:rFonts w:ascii="Times New Roman" w:eastAsia="標楷體" w:hAnsi="Times New Roman"/>
          <w:sz w:val="28"/>
          <w:szCs w:val="28"/>
        </w:rPr>
        <w:t xml:space="preserve">: </w:t>
      </w:r>
      <w:hyperlink r:id="rId8" w:history="1">
        <w:r w:rsidRPr="00C53CF9">
          <w:rPr>
            <w:rStyle w:val="Hyperlink"/>
            <w:rFonts w:ascii="Times New Roman" w:eastAsia="標楷體" w:hAnsi="Times New Roman"/>
            <w:sz w:val="28"/>
            <w:szCs w:val="28"/>
          </w:rPr>
          <w:t>http://elearning.rad.gov.tw/moodle/course/view.php?id=5309</w:t>
        </w:r>
      </w:hyperlink>
    </w:p>
    <w:p w:rsidR="00761539" w:rsidRPr="002A4AA6" w:rsidRDefault="00761539" w:rsidP="00DB0454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761539" w:rsidRPr="002A4AA6" w:rsidRDefault="00761539" w:rsidP="00DB0454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(3)  </w:t>
      </w:r>
      <w:r w:rsidRPr="002A4AA6">
        <w:rPr>
          <w:rFonts w:ascii="Times New Roman" w:eastAsia="標楷體" w:hAnsi="Times New Roman"/>
          <w:sz w:val="28"/>
          <w:szCs w:val="28"/>
        </w:rPr>
        <w:t>e</w:t>
      </w:r>
      <w:r w:rsidRPr="002A4AA6">
        <w:rPr>
          <w:rFonts w:ascii="Times New Roman" w:eastAsia="標楷體" w:hAnsi="Times New Roman" w:hint="eastAsia"/>
          <w:sz w:val="28"/>
          <w:szCs w:val="28"/>
        </w:rPr>
        <w:t>學中心</w:t>
      </w:r>
      <w:r w:rsidRPr="002A4AA6">
        <w:rPr>
          <w:rFonts w:ascii="Times New Roman" w:eastAsia="標楷體" w:hAnsi="Times New Roman"/>
          <w:sz w:val="28"/>
          <w:szCs w:val="28"/>
        </w:rPr>
        <w:t xml:space="preserve">:   </w:t>
      </w:r>
      <w:r w:rsidRPr="002A4AA6">
        <w:rPr>
          <w:rFonts w:ascii="Times New Roman" w:eastAsia="標楷體" w:hAnsi="Times New Roman" w:hint="eastAsia"/>
          <w:sz w:val="28"/>
          <w:szCs w:val="28"/>
        </w:rPr>
        <w:t>與地球共生～低碳飲食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上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2A4AA6">
        <w:rPr>
          <w:rFonts w:ascii="Times New Roman" w:eastAsia="標楷體" w:hAnsi="Times New Roman" w:hint="eastAsia"/>
          <w:sz w:val="28"/>
          <w:szCs w:val="28"/>
        </w:rPr>
        <w:t>（下）</w:t>
      </w:r>
    </w:p>
    <w:p w:rsidR="00761539" w:rsidRDefault="00761539" w:rsidP="00DB0454">
      <w:pPr>
        <w:autoSpaceDE w:val="0"/>
        <w:autoSpaceDN w:val="0"/>
        <w:adjustRightInd w:val="0"/>
        <w:spacing w:line="240" w:lineRule="atLeas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2A4AA6"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 w:rsidRPr="002A4AA6">
        <w:rPr>
          <w:rFonts w:ascii="Times New Roman" w:eastAsia="標楷體" w:hAnsi="Times New Roman" w:hint="eastAsia"/>
          <w:sz w:val="28"/>
          <w:szCs w:val="28"/>
        </w:rPr>
        <w:t>相關連結</w:t>
      </w:r>
      <w:r w:rsidRPr="002A4AA6">
        <w:rPr>
          <w:rFonts w:ascii="Times New Roman" w:eastAsia="標楷體" w:hAnsi="Times New Roman"/>
          <w:sz w:val="28"/>
          <w:szCs w:val="28"/>
        </w:rPr>
        <w:t xml:space="preserve">: </w:t>
      </w:r>
      <w:hyperlink r:id="rId9" w:history="1">
        <w:r w:rsidRPr="00C53CF9">
          <w:rPr>
            <w:rStyle w:val="Hyperlink"/>
            <w:rFonts w:ascii="Times New Roman" w:eastAsia="標楷體" w:hAnsi="Times New Roman"/>
            <w:sz w:val="28"/>
            <w:szCs w:val="28"/>
          </w:rPr>
          <w:t>http://elearning.rad.gov.tw/moodle/course/view.php?id=7337</w:t>
        </w:r>
      </w:hyperlink>
    </w:p>
    <w:sectPr w:rsidR="00761539" w:rsidSect="00AF06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39" w:rsidRDefault="00761539" w:rsidP="008114A9">
      <w:r>
        <w:separator/>
      </w:r>
    </w:p>
  </w:endnote>
  <w:endnote w:type="continuationSeparator" w:id="0">
    <w:p w:rsidR="00761539" w:rsidRDefault="00761539" w:rsidP="0081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39" w:rsidRDefault="00761539" w:rsidP="008114A9">
      <w:r>
        <w:separator/>
      </w:r>
    </w:p>
  </w:footnote>
  <w:footnote w:type="continuationSeparator" w:id="0">
    <w:p w:rsidR="00761539" w:rsidRDefault="00761539" w:rsidP="00811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6B0"/>
    <w:rsid w:val="00266695"/>
    <w:rsid w:val="002868A7"/>
    <w:rsid w:val="002A326D"/>
    <w:rsid w:val="002A4AA6"/>
    <w:rsid w:val="002B1D34"/>
    <w:rsid w:val="00403970"/>
    <w:rsid w:val="00482E0A"/>
    <w:rsid w:val="00497E10"/>
    <w:rsid w:val="004A7689"/>
    <w:rsid w:val="005329EE"/>
    <w:rsid w:val="005A5244"/>
    <w:rsid w:val="005D71AB"/>
    <w:rsid w:val="00761539"/>
    <w:rsid w:val="007B17ED"/>
    <w:rsid w:val="00806E09"/>
    <w:rsid w:val="008114A9"/>
    <w:rsid w:val="00843905"/>
    <w:rsid w:val="008E3392"/>
    <w:rsid w:val="009534D1"/>
    <w:rsid w:val="0097360A"/>
    <w:rsid w:val="009D2BB8"/>
    <w:rsid w:val="009E6570"/>
    <w:rsid w:val="00A4243B"/>
    <w:rsid w:val="00A95E8F"/>
    <w:rsid w:val="00AA3F81"/>
    <w:rsid w:val="00AF06B0"/>
    <w:rsid w:val="00B05F73"/>
    <w:rsid w:val="00B15B4C"/>
    <w:rsid w:val="00B93E65"/>
    <w:rsid w:val="00BA3035"/>
    <w:rsid w:val="00C05D66"/>
    <w:rsid w:val="00C27049"/>
    <w:rsid w:val="00C44E24"/>
    <w:rsid w:val="00C53CF9"/>
    <w:rsid w:val="00C80B96"/>
    <w:rsid w:val="00D62A3F"/>
    <w:rsid w:val="00DA2122"/>
    <w:rsid w:val="00DB0454"/>
    <w:rsid w:val="00DE1713"/>
    <w:rsid w:val="00E1364E"/>
    <w:rsid w:val="00E20064"/>
    <w:rsid w:val="00EB505C"/>
    <w:rsid w:val="00ED771A"/>
    <w:rsid w:val="00F54FC2"/>
    <w:rsid w:val="00F56046"/>
    <w:rsid w:val="00F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60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5604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0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0A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11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4A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11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4A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C44E2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rad.gov.tw/moodle/course/view.php?id=53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arn.epa.gov.tw/DigitalLearning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learning.rad.gov.tw/moodle/course/view.php?id=7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臺南市立建興國中104學年度環境教育教師網上研習辦法</dc:title>
  <dc:subject/>
  <dc:creator>USER</dc:creator>
  <cp:keywords/>
  <dc:description/>
  <cp:lastModifiedBy>USER</cp:lastModifiedBy>
  <cp:revision>2</cp:revision>
  <dcterms:created xsi:type="dcterms:W3CDTF">2015-09-10T05:34:00Z</dcterms:created>
  <dcterms:modified xsi:type="dcterms:W3CDTF">2015-09-10T05:34:00Z</dcterms:modified>
</cp:coreProperties>
</file>