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95" w:rsidRDefault="00DB5695"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bookmarkStart w:id="0" w:name="_GoBack"/>
      <w:bookmarkEnd w:id="0"/>
      <w:r w:rsidRPr="00DB5695">
        <w:rPr>
          <w:rFonts w:ascii="標楷體" w:eastAsia="標楷體" w:hAnsi="標楷體"/>
          <w:b/>
          <w:bCs/>
          <w:color w:val="000000" w:themeColor="text1"/>
          <w:sz w:val="32"/>
          <w:szCs w:val="32"/>
        </w:rPr>
        <w:t>臺南市</w:t>
      </w:r>
      <w:r w:rsidR="002306E4">
        <w:rPr>
          <w:rFonts w:ascii="標楷體" w:eastAsia="標楷體" w:hAnsi="標楷體" w:hint="eastAsia"/>
          <w:b/>
          <w:bCs/>
          <w:color w:val="000000" w:themeColor="text1"/>
          <w:sz w:val="32"/>
          <w:szCs w:val="32"/>
        </w:rPr>
        <w:t>安南</w:t>
      </w:r>
      <w:r w:rsidRPr="00DB5695">
        <w:rPr>
          <w:rFonts w:ascii="標楷體" w:eastAsia="標楷體" w:hAnsi="標楷體"/>
          <w:b/>
          <w:bCs/>
          <w:color w:val="000000" w:themeColor="text1"/>
          <w:sz w:val="32"/>
          <w:szCs w:val="32"/>
        </w:rPr>
        <w:t>區</w:t>
      </w:r>
      <w:r w:rsidR="002306E4">
        <w:rPr>
          <w:rFonts w:ascii="標楷體" w:eastAsia="標楷體" w:hAnsi="標楷體" w:hint="eastAsia"/>
          <w:b/>
          <w:bCs/>
          <w:color w:val="000000" w:themeColor="text1"/>
          <w:sz w:val="32"/>
          <w:szCs w:val="32"/>
        </w:rPr>
        <w:t>青草</w:t>
      </w:r>
      <w:r w:rsidRPr="00DB5695">
        <w:rPr>
          <w:rFonts w:ascii="標楷體" w:eastAsia="標楷體" w:hAnsi="標楷體"/>
          <w:b/>
          <w:bCs/>
          <w:color w:val="000000" w:themeColor="text1"/>
          <w:sz w:val="32"/>
          <w:szCs w:val="32"/>
        </w:rPr>
        <w:t>國民小學</w:t>
      </w:r>
      <w:r w:rsidR="000B0AF4"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1" w:name="_Toc63851687"/>
      <w:r w:rsidR="008B67FA">
        <w:rPr>
          <w:rFonts w:eastAsia="標楷體" w:hAnsi="標楷體" w:hint="eastAsia"/>
          <w:b/>
          <w:bCs/>
          <w:color w:val="000000" w:themeColor="text1"/>
          <w:kern w:val="0"/>
          <w:sz w:val="32"/>
          <w:szCs w:val="32"/>
        </w:rPr>
        <w:t>(</w:t>
      </w:r>
      <w:r w:rsidR="008B67FA">
        <w:rPr>
          <w:rFonts w:eastAsia="標楷體" w:hAnsi="標楷體"/>
          <w:b/>
          <w:bCs/>
          <w:color w:val="000000" w:themeColor="text1"/>
          <w:kern w:val="0"/>
          <w:sz w:val="32"/>
          <w:szCs w:val="32"/>
        </w:rPr>
        <w:t>範本</w:t>
      </w:r>
      <w:r w:rsidR="008B67FA">
        <w:rPr>
          <w:rFonts w:eastAsia="標楷體" w:hAnsi="標楷體" w:hint="eastAsia"/>
          <w:b/>
          <w:bCs/>
          <w:color w:val="000000" w:themeColor="text1"/>
          <w:kern w:val="0"/>
          <w:sz w:val="32"/>
          <w:szCs w:val="32"/>
        </w:rPr>
        <w:t>)</w:t>
      </w:r>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1"/>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.84（kWp）以上）</w:t>
      </w:r>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w:t>
      </w:r>
      <w:r w:rsidR="00A40BF5" w:rsidRPr="00997A4C">
        <w:rPr>
          <w:rFonts w:hAnsi="標楷體"/>
          <w:color w:val="000000" w:themeColor="text1"/>
          <w:szCs w:val="28"/>
        </w:rPr>
        <w:lastRenderedPageBreak/>
        <w:t xml:space="preserve">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rsidR="00B34BC9" w:rsidRPr="00B34BC9"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r w:rsidRPr="00B34BC9">
        <w:rPr>
          <w:rFonts w:ascii="Times New Roman" w:hAnsi="標楷體" w:cs="Times New Roman" w:hint="eastAsia"/>
          <w:color w:val="FF0000"/>
          <w:kern w:val="2"/>
          <w:sz w:val="28"/>
          <w:szCs w:val="28"/>
          <w:lang w:bidi="ar-SA"/>
        </w:rPr>
        <w:t>（本校</w:t>
      </w:r>
      <w:r w:rsidRPr="00B34BC9">
        <w:rPr>
          <w:rFonts w:ascii="Times New Roman" w:hAnsi="標楷體" w:cs="Times New Roman" w:hint="eastAsia"/>
          <w:color w:val="FF0000"/>
          <w:kern w:val="2"/>
          <w:sz w:val="28"/>
          <w:szCs w:val="28"/>
          <w:lang w:bidi="ar-SA"/>
        </w:rPr>
        <w:t>OO</w:t>
      </w:r>
      <w:r w:rsidRPr="00B34BC9">
        <w:rPr>
          <w:rFonts w:ascii="Times New Roman" w:hAnsi="標楷體" w:cs="Times New Roman" w:hint="eastAsia"/>
          <w:color w:val="FF0000"/>
          <w:kern w:val="2"/>
          <w:sz w:val="28"/>
          <w:szCs w:val="28"/>
          <w:lang w:bidi="ar-SA"/>
        </w:rPr>
        <w:t>樓屋頂基地面積</w:t>
      </w:r>
      <w:r w:rsidRPr="00B34BC9">
        <w:rPr>
          <w:rFonts w:ascii="Times New Roman" w:hAnsi="標楷體" w:cs="Times New Roman"/>
          <w:color w:val="FF0000"/>
          <w:kern w:val="2"/>
          <w:sz w:val="28"/>
          <w:szCs w:val="28"/>
          <w:lang w:bidi="ar-SA"/>
        </w:rPr>
        <w:t>600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hint="eastAsia"/>
          <w:color w:val="FF0000"/>
          <w:kern w:val="2"/>
          <w:sz w:val="28"/>
          <w:szCs w:val="28"/>
          <w:lang w:bidi="ar-SA"/>
        </w:rPr>
        <w:t>XX</w:t>
      </w:r>
      <w:r w:rsidRPr="00B34BC9">
        <w:rPr>
          <w:rFonts w:ascii="Times New Roman" w:hAnsi="標楷體" w:cs="Times New Roman" w:hint="eastAsia"/>
          <w:color w:val="FF0000"/>
          <w:kern w:val="2"/>
          <w:sz w:val="28"/>
          <w:szCs w:val="28"/>
          <w:lang w:bidi="ar-SA"/>
        </w:rPr>
        <w:t>樓屋頂基地面積</w:t>
      </w:r>
      <w:r w:rsidRPr="00B34BC9">
        <w:rPr>
          <w:rFonts w:ascii="Times New Roman" w:hAnsi="標楷體" w:cs="Times New Roman" w:hint="eastAsia"/>
          <w:color w:val="FF0000"/>
          <w:kern w:val="2"/>
          <w:sz w:val="28"/>
          <w:szCs w:val="28"/>
          <w:lang w:bidi="ar-SA"/>
        </w:rPr>
        <w:t>4</w:t>
      </w:r>
      <w:r w:rsidRPr="00B34BC9">
        <w:rPr>
          <w:rFonts w:ascii="Times New Roman" w:hAnsi="標楷體" w:cs="Times New Roman"/>
          <w:color w:val="FF0000"/>
          <w:kern w:val="2"/>
          <w:sz w:val="28"/>
          <w:szCs w:val="28"/>
          <w:lang w:bidi="ar-SA"/>
        </w:rPr>
        <w:t>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color w:val="FF0000"/>
          <w:kern w:val="2"/>
          <w:sz w:val="28"/>
          <w:szCs w:val="28"/>
          <w:lang w:bidi="ar-SA"/>
        </w:rPr>
        <w:t>合計</w:t>
      </w:r>
      <w:r w:rsidRPr="00B34BC9">
        <w:rPr>
          <w:rFonts w:ascii="Times New Roman" w:hAnsi="標楷體" w:cs="Times New Roman" w:hint="eastAsia"/>
          <w:color w:val="FF0000"/>
          <w:kern w:val="2"/>
          <w:sz w:val="28"/>
          <w:szCs w:val="28"/>
          <w:lang w:bidi="ar-SA"/>
        </w:rPr>
        <w:t>1</w:t>
      </w:r>
      <w:r w:rsidRPr="00B34BC9">
        <w:rPr>
          <w:rFonts w:ascii="Times New Roman" w:hAnsi="標楷體" w:cs="Times New Roman"/>
          <w:color w:val="FF0000"/>
          <w:kern w:val="2"/>
          <w:sz w:val="28"/>
          <w:szCs w:val="28"/>
          <w:lang w:bidi="ar-SA"/>
        </w:rPr>
        <w:t>000</w:t>
      </w:r>
      <w:r w:rsidRPr="00B34BC9">
        <w:rPr>
          <w:rFonts w:ascii="Times New Roman" w:hAnsi="標楷體" w:cs="Times New Roman"/>
          <w:color w:val="FF0000"/>
          <w:kern w:val="2"/>
          <w:sz w:val="28"/>
          <w:szCs w:val="28"/>
          <w:lang w:bidi="ar-SA"/>
        </w:rPr>
        <w:t>平方公尺</w:t>
      </w:r>
      <w:r w:rsidRPr="00B34BC9">
        <w:rPr>
          <w:rFonts w:ascii="Times New Roman" w:hAnsi="標楷體" w:cs="Times New Roman" w:hint="eastAsia"/>
          <w:color w:val="FF0000"/>
          <w:kern w:val="2"/>
          <w:sz w:val="28"/>
          <w:szCs w:val="28"/>
          <w:lang w:bidi="ar-SA"/>
        </w:rPr>
        <w:t>）</w:t>
      </w:r>
      <w:r w:rsidRPr="00B34BC9">
        <w:rPr>
          <w:rFonts w:ascii="Times New Roman" w:hAnsi="標楷體" w:cs="Times New Roman" w:hint="eastAsia"/>
          <w:color w:val="000000" w:themeColor="text1"/>
          <w:kern w:val="2"/>
          <w:sz w:val="28"/>
          <w:szCs w:val="28"/>
          <w:lang w:bidi="ar-SA"/>
        </w:rPr>
        <w:t>。</w:t>
      </w:r>
    </w:p>
    <w:p w:rsidR="00B34BC9" w:rsidRPr="00B34BC9" w:rsidRDefault="00B34BC9"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B34BC9">
        <w:rPr>
          <w:rFonts w:ascii="Times New Roman" w:eastAsia="標楷體" w:hAnsi="標楷體" w:cs="Times New Roman" w:hint="eastAsia"/>
          <w:color w:val="000000" w:themeColor="text1"/>
          <w:kern w:val="2"/>
          <w:sz w:val="28"/>
          <w:szCs w:val="28"/>
        </w:rPr>
        <w:sym w:font="Wingdings" w:char="F06F"/>
      </w:r>
      <w:r w:rsidRPr="00B34BC9">
        <w:rPr>
          <w:rFonts w:ascii="Times New Roman" w:eastAsia="標楷體" w:hAnsi="標楷體" w:cs="Times New Roman" w:hint="eastAsia"/>
          <w:color w:val="000000" w:themeColor="text1"/>
          <w:kern w:val="2"/>
          <w:sz w:val="28"/>
          <w:szCs w:val="28"/>
        </w:rPr>
        <w:t>2.</w:t>
      </w:r>
      <w:r w:rsidRPr="00B34BC9">
        <w:rPr>
          <w:rFonts w:ascii="Times New Roman" w:eastAsia="標楷體" w:hAnsi="標楷體" w:cs="Times New Roman" w:hint="eastAsia"/>
          <w:color w:val="000000" w:themeColor="text1"/>
          <w:kern w:val="2"/>
          <w:sz w:val="28"/>
          <w:szCs w:val="28"/>
        </w:rPr>
        <w:t>地面型太陽光電：建物由廠商興建後加裝太陽光電板</w:t>
      </w:r>
      <w:r w:rsidRPr="00B34BC9">
        <w:rPr>
          <w:rFonts w:ascii="Times New Roman" w:eastAsia="標楷體" w:hAnsi="標楷體" w:cs="Times New Roman" w:hint="eastAsia"/>
          <w:color w:val="FF0000"/>
          <w:kern w:val="2"/>
          <w:sz w:val="28"/>
          <w:szCs w:val="28"/>
        </w:rPr>
        <w:t>（本校東側</w:t>
      </w:r>
      <w:r w:rsidRPr="00B34BC9">
        <w:rPr>
          <w:rFonts w:ascii="Times New Roman" w:eastAsia="標楷體" w:hAnsi="標楷體" w:cs="Times New Roman" w:hint="eastAsia"/>
          <w:color w:val="FF0000"/>
          <w:kern w:val="2"/>
          <w:sz w:val="28"/>
          <w:szCs w:val="28"/>
        </w:rPr>
        <w:t>2</w:t>
      </w:r>
      <w:r w:rsidRPr="00B34BC9">
        <w:rPr>
          <w:rFonts w:ascii="Times New Roman" w:eastAsia="標楷體" w:hAnsi="標楷體" w:cs="Times New Roman" w:hint="eastAsia"/>
          <w:color w:val="FF0000"/>
          <w:kern w:val="2"/>
          <w:sz w:val="28"/>
          <w:szCs w:val="28"/>
        </w:rPr>
        <w:t>面籃球場，基地面積</w:t>
      </w:r>
      <w:r w:rsidRPr="00B34BC9">
        <w:rPr>
          <w:rFonts w:ascii="Times New Roman" w:eastAsia="標楷體" w:hAnsi="標楷體" w:cs="Times New Roman" w:hint="eastAsia"/>
          <w:color w:val="FF0000"/>
          <w:kern w:val="2"/>
          <w:sz w:val="28"/>
          <w:szCs w:val="28"/>
        </w:rPr>
        <w:t>1</w:t>
      </w:r>
      <w:r w:rsidRPr="00B34BC9">
        <w:rPr>
          <w:rFonts w:ascii="Times New Roman" w:eastAsia="標楷體" w:hAnsi="標楷體" w:cs="Times New Roman"/>
          <w:color w:val="FF0000"/>
          <w:kern w:val="2"/>
          <w:sz w:val="28"/>
          <w:szCs w:val="28"/>
        </w:rPr>
        <w:t>200</w:t>
      </w:r>
      <w:r w:rsidRPr="00B34BC9">
        <w:rPr>
          <w:rFonts w:ascii="Times New Roman" w:eastAsia="標楷體" w:hAnsi="標楷體" w:cs="Times New Roman"/>
          <w:color w:val="FF0000"/>
          <w:kern w:val="2"/>
          <w:sz w:val="28"/>
          <w:szCs w:val="28"/>
        </w:rPr>
        <w:t>平方公尺</w:t>
      </w:r>
      <w:r w:rsidRPr="00B34BC9">
        <w:rPr>
          <w:rFonts w:ascii="Times New Roman" w:eastAsia="標楷體" w:hAnsi="標楷體" w:cs="Times New Roman" w:hint="eastAsia"/>
          <w:color w:val="FF0000"/>
          <w:kern w:val="2"/>
          <w:sz w:val="28"/>
          <w:szCs w:val="28"/>
        </w:rPr>
        <w:t>）</w:t>
      </w:r>
      <w:r w:rsidRPr="00B34BC9">
        <w:rPr>
          <w:rFonts w:ascii="Times New Roman" w:eastAsia="標楷體" w:hAnsi="標楷體" w:cs="Times New Roman" w:hint="eastAsia"/>
          <w:color w:val="000000" w:themeColor="text1"/>
          <w:kern w:val="2"/>
          <w:sz w:val="28"/>
          <w:szCs w:val="28"/>
        </w:rPr>
        <w:t>。</w:t>
      </w:r>
    </w:p>
    <w:p w:rsidR="004B499F" w:rsidRPr="00B34BC9" w:rsidRDefault="00AD2112" w:rsidP="00B34BC9">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ascii="標楷體" w:eastAsia="標楷體" w:hAnsi="標楷體" w:hint="eastAsia"/>
          <w:color w:val="000000" w:themeColor="text1"/>
          <w:sz w:val="28"/>
          <w:szCs w:val="28"/>
        </w:rPr>
        <w:t>█</w:t>
      </w:r>
      <w:r w:rsidR="00B34BC9" w:rsidRPr="00B34BC9">
        <w:rPr>
          <w:rFonts w:eastAsia="標楷體" w:hAnsi="標楷體" w:hint="eastAsia"/>
          <w:color w:val="000000" w:themeColor="text1"/>
          <w:sz w:val="28"/>
          <w:szCs w:val="28"/>
        </w:rPr>
        <w:t>3.</w:t>
      </w:r>
      <w:r w:rsidR="00B34BC9" w:rsidRPr="00B34BC9">
        <w:rPr>
          <w:rFonts w:eastAsia="標楷體" w:hAnsi="標楷體" w:hint="eastAsia"/>
          <w:color w:val="000000" w:themeColor="text1"/>
          <w:sz w:val="28"/>
          <w:szCs w:val="28"/>
        </w:rPr>
        <w:t>綜合型太陽光電：同時包含屋頂型及地面型</w:t>
      </w:r>
      <w:r w:rsidR="00B34BC9" w:rsidRPr="00B34BC9">
        <w:rPr>
          <w:rFonts w:eastAsia="標楷體" w:hAnsi="標楷體" w:hint="eastAsia"/>
          <w:color w:val="FF0000"/>
          <w:sz w:val="28"/>
          <w:szCs w:val="28"/>
        </w:rPr>
        <w:t>（</w:t>
      </w:r>
      <w:r w:rsidR="008046C9">
        <w:rPr>
          <w:rFonts w:eastAsia="標楷體" w:hAnsi="標楷體" w:hint="eastAsia"/>
          <w:color w:val="FF0000"/>
          <w:sz w:val="28"/>
          <w:szCs w:val="28"/>
        </w:rPr>
        <w:t>本校</w:t>
      </w:r>
      <w:r w:rsidR="008046C9">
        <w:rPr>
          <w:rFonts w:eastAsia="標楷體" w:hAnsi="標楷體"/>
          <w:color w:val="FF0000"/>
          <w:sz w:val="28"/>
          <w:szCs w:val="28"/>
        </w:rPr>
        <w:t>設置</w:t>
      </w:r>
      <w:r w:rsidR="00AB601C">
        <w:rPr>
          <w:rFonts w:eastAsia="標楷體" w:hAnsi="標楷體" w:hint="eastAsia"/>
          <w:color w:val="FF0000"/>
          <w:sz w:val="28"/>
          <w:szCs w:val="28"/>
        </w:rPr>
        <w:t>位</w:t>
      </w:r>
      <w:r w:rsidR="00AB601C">
        <w:rPr>
          <w:rFonts w:eastAsia="標楷體" w:hAnsi="標楷體"/>
          <w:color w:val="FF0000"/>
          <w:sz w:val="28"/>
          <w:szCs w:val="28"/>
        </w:rPr>
        <w:t>置為</w:t>
      </w:r>
      <w:r>
        <w:rPr>
          <w:rFonts w:eastAsia="標楷體" w:hAnsi="標楷體" w:hint="eastAsia"/>
          <w:color w:val="FF0000"/>
          <w:sz w:val="28"/>
          <w:szCs w:val="28"/>
        </w:rPr>
        <w:t>教學</w:t>
      </w:r>
      <w:r>
        <w:rPr>
          <w:rFonts w:eastAsia="標楷體" w:hAnsi="標楷體"/>
          <w:color w:val="FF0000"/>
          <w:sz w:val="28"/>
          <w:szCs w:val="28"/>
        </w:rPr>
        <w:t>大</w:t>
      </w:r>
      <w:r w:rsidR="00B34BC9" w:rsidRPr="00B34BC9">
        <w:rPr>
          <w:rFonts w:eastAsia="標楷體" w:hAnsi="標楷體" w:hint="eastAsia"/>
          <w:color w:val="FF0000"/>
          <w:sz w:val="28"/>
          <w:szCs w:val="28"/>
        </w:rPr>
        <w:t>樓屋頂基地面積</w:t>
      </w:r>
      <w:r>
        <w:rPr>
          <w:rFonts w:eastAsia="標楷體" w:hAnsi="標楷體" w:hint="eastAsia"/>
          <w:color w:val="FF0000"/>
          <w:sz w:val="28"/>
          <w:szCs w:val="28"/>
        </w:rPr>
        <w:t>約</w:t>
      </w:r>
      <w:r w:rsidR="00C47228">
        <w:rPr>
          <w:rFonts w:eastAsia="標楷體" w:hAnsi="標楷體"/>
          <w:color w:val="FF0000"/>
          <w:sz w:val="28"/>
          <w:szCs w:val="28"/>
        </w:rPr>
        <w:t>700.56</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sidR="00C47228">
        <w:rPr>
          <w:rFonts w:eastAsia="標楷體" w:hAnsi="標楷體" w:hint="eastAsia"/>
          <w:color w:val="FF0000"/>
          <w:sz w:val="28"/>
          <w:szCs w:val="28"/>
        </w:rPr>
        <w:t>專</w:t>
      </w:r>
      <w:r w:rsidR="00C47228">
        <w:rPr>
          <w:rFonts w:eastAsia="標楷體" w:hAnsi="標楷體"/>
          <w:color w:val="FF0000"/>
          <w:sz w:val="28"/>
          <w:szCs w:val="28"/>
        </w:rPr>
        <w:t>科大樓屋頂基地面積約為</w:t>
      </w:r>
      <w:r w:rsidR="00C47228">
        <w:rPr>
          <w:rFonts w:eastAsia="標楷體" w:hAnsi="標楷體" w:hint="eastAsia"/>
          <w:color w:val="FF0000"/>
          <w:sz w:val="28"/>
          <w:szCs w:val="28"/>
        </w:rPr>
        <w:t>344.23</w:t>
      </w:r>
      <w:r w:rsidR="00C47228">
        <w:rPr>
          <w:rFonts w:eastAsia="標楷體" w:hAnsi="標楷體" w:hint="eastAsia"/>
          <w:color w:val="FF0000"/>
          <w:sz w:val="28"/>
          <w:szCs w:val="28"/>
        </w:rPr>
        <w:t>平</w:t>
      </w:r>
      <w:r w:rsidR="00C47228">
        <w:rPr>
          <w:rFonts w:eastAsia="標楷體" w:hAnsi="標楷體"/>
          <w:color w:val="FF0000"/>
          <w:sz w:val="28"/>
          <w:szCs w:val="28"/>
        </w:rPr>
        <w:t>方</w:t>
      </w:r>
      <w:r w:rsidR="00C47228">
        <w:rPr>
          <w:rFonts w:eastAsia="標楷體" w:hAnsi="標楷體" w:hint="eastAsia"/>
          <w:color w:val="FF0000"/>
          <w:sz w:val="28"/>
          <w:szCs w:val="28"/>
        </w:rPr>
        <w:t>公</w:t>
      </w:r>
      <w:r w:rsidR="00C47228">
        <w:rPr>
          <w:rFonts w:eastAsia="標楷體" w:hAnsi="標楷體"/>
          <w:color w:val="FF0000"/>
          <w:sz w:val="28"/>
          <w:szCs w:val="28"/>
        </w:rPr>
        <w:t>尺</w:t>
      </w:r>
      <w:r w:rsidR="00C47228">
        <w:rPr>
          <w:rFonts w:eastAsia="標楷體" w:hAnsi="標楷體" w:hint="eastAsia"/>
          <w:color w:val="FF0000"/>
          <w:sz w:val="28"/>
          <w:szCs w:val="28"/>
        </w:rPr>
        <w:t>、</w:t>
      </w:r>
      <w:r>
        <w:rPr>
          <w:rFonts w:eastAsia="標楷體" w:hAnsi="標楷體" w:hint="eastAsia"/>
          <w:color w:val="FF0000"/>
          <w:sz w:val="28"/>
          <w:szCs w:val="28"/>
        </w:rPr>
        <w:t>風雨</w:t>
      </w:r>
      <w:r>
        <w:rPr>
          <w:rFonts w:eastAsia="標楷體" w:hAnsi="標楷體"/>
          <w:color w:val="FF0000"/>
          <w:sz w:val="28"/>
          <w:szCs w:val="28"/>
        </w:rPr>
        <w:t>球</w:t>
      </w:r>
      <w:r w:rsidR="00B34BC9" w:rsidRPr="00B34BC9">
        <w:rPr>
          <w:rFonts w:eastAsia="標楷體" w:hAnsi="標楷體" w:hint="eastAsia"/>
          <w:color w:val="FF0000"/>
          <w:sz w:val="28"/>
          <w:szCs w:val="28"/>
        </w:rPr>
        <w:t>場基地面積</w:t>
      </w:r>
      <w:r w:rsidR="00C47228">
        <w:rPr>
          <w:rFonts w:eastAsia="標楷體" w:hAnsi="標楷體"/>
          <w:color w:val="FF0000"/>
          <w:sz w:val="28"/>
          <w:szCs w:val="28"/>
        </w:rPr>
        <w:t>615.03</w:t>
      </w:r>
      <w:r w:rsidR="00C47228">
        <w:rPr>
          <w:rFonts w:eastAsia="標楷體" w:hAnsi="標楷體"/>
          <w:color w:val="FF0000"/>
          <w:sz w:val="28"/>
          <w:szCs w:val="28"/>
        </w:rPr>
        <w:t>平方</w:t>
      </w:r>
      <w:r w:rsidR="00C47228">
        <w:rPr>
          <w:rFonts w:eastAsia="標楷體" w:hAnsi="標楷體" w:hint="eastAsia"/>
          <w:color w:val="FF0000"/>
          <w:sz w:val="28"/>
          <w:szCs w:val="28"/>
        </w:rPr>
        <w:t>公</w:t>
      </w:r>
      <w:r w:rsidR="00C47228">
        <w:rPr>
          <w:rFonts w:eastAsia="標楷體" w:hAnsi="標楷體"/>
          <w:color w:val="FF0000"/>
          <w:sz w:val="28"/>
          <w:szCs w:val="28"/>
        </w:rPr>
        <w:t>尺，</w:t>
      </w:r>
      <w:r w:rsidR="000953C0">
        <w:rPr>
          <w:rFonts w:eastAsia="標楷體" w:hAnsi="標楷體" w:hint="eastAsia"/>
          <w:color w:val="FF0000"/>
          <w:sz w:val="28"/>
          <w:szCs w:val="28"/>
        </w:rPr>
        <w:t>本</w:t>
      </w:r>
      <w:r w:rsidR="000953C0">
        <w:rPr>
          <w:rFonts w:eastAsia="標楷體" w:hAnsi="標楷體"/>
          <w:color w:val="FF0000"/>
          <w:sz w:val="28"/>
          <w:szCs w:val="28"/>
        </w:rPr>
        <w:t>校停車場及週圍</w:t>
      </w:r>
      <w:r w:rsidR="00C47228">
        <w:rPr>
          <w:rFonts w:eastAsia="標楷體" w:hAnsi="標楷體" w:hint="eastAsia"/>
          <w:color w:val="FF0000"/>
          <w:sz w:val="28"/>
          <w:szCs w:val="28"/>
        </w:rPr>
        <w:t>約</w:t>
      </w:r>
      <w:r w:rsidR="000953C0">
        <w:rPr>
          <w:rFonts w:eastAsia="標楷體" w:hAnsi="標楷體" w:hint="eastAsia"/>
          <w:color w:val="FF0000"/>
          <w:sz w:val="28"/>
          <w:szCs w:val="28"/>
        </w:rPr>
        <w:t>800</w:t>
      </w:r>
      <w:r w:rsidR="000953C0">
        <w:rPr>
          <w:rFonts w:eastAsia="標楷體" w:hAnsi="標楷體" w:hint="eastAsia"/>
          <w:color w:val="FF0000"/>
          <w:sz w:val="28"/>
          <w:szCs w:val="28"/>
        </w:rPr>
        <w:t>平</w:t>
      </w:r>
      <w:r w:rsidR="000953C0">
        <w:rPr>
          <w:rFonts w:eastAsia="標楷體" w:hAnsi="標楷體"/>
          <w:color w:val="FF0000"/>
          <w:sz w:val="28"/>
          <w:szCs w:val="28"/>
        </w:rPr>
        <w:t>方公尺，</w:t>
      </w:r>
      <w:r w:rsidR="000953C0">
        <w:rPr>
          <w:rFonts w:eastAsia="標楷體" w:hAnsi="標楷體" w:hint="eastAsia"/>
          <w:color w:val="FF0000"/>
          <w:sz w:val="28"/>
          <w:szCs w:val="28"/>
        </w:rPr>
        <w:t>合</w:t>
      </w:r>
      <w:r w:rsidR="000953C0">
        <w:rPr>
          <w:rFonts w:eastAsia="標楷體" w:hAnsi="標楷體"/>
          <w:color w:val="FF0000"/>
          <w:sz w:val="28"/>
          <w:szCs w:val="28"/>
        </w:rPr>
        <w:t>計</w:t>
      </w:r>
      <w:r w:rsidR="00AB601C">
        <w:rPr>
          <w:rFonts w:eastAsia="標楷體" w:hAnsi="標楷體" w:hint="eastAsia"/>
          <w:color w:val="FF0000"/>
          <w:sz w:val="28"/>
          <w:szCs w:val="28"/>
        </w:rPr>
        <w:t>設置面</w:t>
      </w:r>
      <w:r w:rsidR="00AB601C">
        <w:rPr>
          <w:rFonts w:eastAsia="標楷體" w:hAnsi="標楷體"/>
          <w:color w:val="FF0000"/>
          <w:sz w:val="28"/>
          <w:szCs w:val="28"/>
        </w:rPr>
        <w:t>積</w:t>
      </w:r>
      <w:r w:rsidR="00AB601C">
        <w:rPr>
          <w:rFonts w:eastAsia="標楷體" w:hAnsi="標楷體" w:hint="eastAsia"/>
          <w:color w:val="FF0000"/>
          <w:sz w:val="28"/>
          <w:szCs w:val="28"/>
        </w:rPr>
        <w:t>約</w:t>
      </w:r>
      <w:r w:rsidR="00AB601C">
        <w:rPr>
          <w:rFonts w:eastAsia="標楷體" w:hAnsi="標楷體"/>
          <w:color w:val="FF0000"/>
          <w:sz w:val="28"/>
          <w:szCs w:val="28"/>
        </w:rPr>
        <w:t>為</w:t>
      </w:r>
      <w:r w:rsidR="00D94826">
        <w:rPr>
          <w:rFonts w:eastAsia="標楷體" w:hAnsi="標楷體"/>
          <w:color w:val="FF0000"/>
          <w:sz w:val="28"/>
          <w:szCs w:val="28"/>
        </w:rPr>
        <w:t>24</w:t>
      </w:r>
      <w:r w:rsidR="00C47228">
        <w:rPr>
          <w:rFonts w:eastAsia="標楷體" w:hAnsi="標楷體" w:hint="eastAsia"/>
          <w:color w:val="FF0000"/>
          <w:sz w:val="28"/>
          <w:szCs w:val="28"/>
        </w:rPr>
        <w:t>59.82</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sidR="00B34BC9" w:rsidRPr="00B34BC9">
        <w:rPr>
          <w:rFonts w:eastAsia="標楷體" w:hAnsi="標楷體" w:hint="eastAsia"/>
          <w:color w:val="000000" w:themeColor="text1"/>
          <w:sz w:val="28"/>
          <w:szCs w:val="28"/>
        </w:rPr>
        <w:t>。</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w:t>
      </w:r>
      <w:r w:rsidRPr="00997A4C">
        <w:rPr>
          <w:rFonts w:eastAsia="標楷體" w:hAnsi="標楷體" w:hint="eastAsia"/>
          <w:color w:val="000000" w:themeColor="text1"/>
          <w:sz w:val="28"/>
          <w:szCs w:val="28"/>
        </w:rPr>
        <w:lastRenderedPageBreak/>
        <w:t>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997A4C"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0D742B" w:rsidRPr="00997A4C">
        <w:rPr>
          <w:rFonts w:hAnsi="標楷體"/>
          <w:color w:val="000000" w:themeColor="text1"/>
          <w:szCs w:val="28"/>
        </w:rPr>
        <w:t>須達本案標的所載基地面積</w:t>
      </w:r>
      <w:r w:rsidR="000D742B" w:rsidRPr="00997A4C">
        <w:rPr>
          <w:rFonts w:hAnsi="標楷體"/>
          <w:color w:val="000000" w:themeColor="text1"/>
          <w:szCs w:val="28"/>
        </w:rPr>
        <w:t>8%</w:t>
      </w:r>
      <w:r w:rsidR="000D742B" w:rsidRPr="00997A4C">
        <w:rPr>
          <w:rFonts w:hAnsi="標楷體"/>
          <w:color w:val="000000" w:themeColor="text1"/>
          <w:szCs w:val="28"/>
        </w:rPr>
        <w:t>（</w:t>
      </w:r>
      <w:r w:rsidR="000D742B" w:rsidRPr="00997A4C">
        <w:rPr>
          <w:rFonts w:hAnsi="標楷體"/>
          <w:color w:val="000000" w:themeColor="text1"/>
          <w:szCs w:val="28"/>
        </w:rPr>
        <w:t>kWp</w:t>
      </w:r>
      <w:r w:rsidR="000D742B" w:rsidRPr="00997A4C">
        <w:rPr>
          <w:rFonts w:hAnsi="標楷體"/>
          <w:color w:val="000000" w:themeColor="text1"/>
          <w:szCs w:val="28"/>
        </w:rPr>
        <w:t>）以上。</w:t>
      </w:r>
      <w:r w:rsidR="000D742B" w:rsidRPr="008B67FA">
        <w:rPr>
          <w:rFonts w:hAnsi="標楷體"/>
          <w:color w:val="FF0000"/>
          <w:szCs w:val="28"/>
        </w:rPr>
        <w:t>（例：基地面積為</w:t>
      </w:r>
      <w:r w:rsidR="000D742B" w:rsidRPr="008B67FA">
        <w:rPr>
          <w:rFonts w:hAnsi="標楷體"/>
          <w:color w:val="FF0000"/>
          <w:szCs w:val="28"/>
        </w:rPr>
        <w:t>798</w:t>
      </w:r>
      <w:r w:rsidR="000D742B" w:rsidRPr="008B67FA">
        <w:rPr>
          <w:rFonts w:hAnsi="標楷體"/>
          <w:color w:val="FF0000"/>
          <w:szCs w:val="28"/>
        </w:rPr>
        <w:t>平方公尺，基本系統設置容量須達</w:t>
      </w:r>
      <w:r w:rsidR="000D742B" w:rsidRPr="008B67FA">
        <w:rPr>
          <w:rFonts w:hAnsi="標楷體"/>
          <w:color w:val="FF0000"/>
          <w:szCs w:val="28"/>
        </w:rPr>
        <w:t>63.84</w:t>
      </w:r>
      <w:r w:rsidR="000D742B" w:rsidRPr="008B67FA">
        <w:rPr>
          <w:rFonts w:hAnsi="標楷體"/>
          <w:color w:val="FF0000"/>
          <w:szCs w:val="28"/>
        </w:rPr>
        <w:t>（</w:t>
      </w:r>
      <w:r w:rsidR="000D742B" w:rsidRPr="008B67FA">
        <w:rPr>
          <w:rFonts w:hAnsi="標楷體"/>
          <w:color w:val="FF0000"/>
          <w:szCs w:val="28"/>
        </w:rPr>
        <w:t>kWp</w:t>
      </w:r>
      <w:r w:rsidR="000D742B" w:rsidRPr="008B67FA">
        <w:rPr>
          <w:rFonts w:hAnsi="標楷體"/>
          <w:color w:val="FF0000"/>
          <w:szCs w:val="28"/>
        </w:rPr>
        <w:t>）以上）</w:t>
      </w:r>
      <w:r w:rsidR="00D659C9" w:rsidRPr="00997A4C">
        <w:rPr>
          <w:rFonts w:eastAsia="標楷體" w:hAnsi="標楷體"/>
          <w:color w:val="000000" w:themeColor="text1"/>
          <w:sz w:val="28"/>
          <w:szCs w:val="28"/>
        </w:rPr>
        <w:t>。</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9A0C7E">
        <w:rPr>
          <w:rFonts w:hAnsi="標楷體"/>
          <w:color w:val="0000FF"/>
          <w:szCs w:val="28"/>
        </w:rPr>
        <w:t>劃</w:t>
      </w:r>
      <w:r w:rsidRPr="00866A46">
        <w:rPr>
          <w:rFonts w:hAnsi="標楷體"/>
          <w:szCs w:val="28"/>
        </w:rPr>
        <w:t>書及報價參考最有利標精神擇符合需要者辦理議價，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w:t>
      </w:r>
      <w:r w:rsidRPr="00997A4C">
        <w:rPr>
          <w:rFonts w:eastAsia="標楷體" w:hAnsi="標楷體" w:hint="eastAsia"/>
          <w:color w:val="000000" w:themeColor="text1"/>
          <w:sz w:val="28"/>
          <w:szCs w:val="28"/>
        </w:rPr>
        <w:lastRenderedPageBreak/>
        <w:t>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8046C9">
        <w:rPr>
          <w:rFonts w:eastAsia="標楷體" w:hAnsi="標楷體"/>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lastRenderedPageBreak/>
        <w:t>1</w:t>
      </w:r>
      <w:r w:rsidR="008046C9">
        <w:rPr>
          <w:rFonts w:eastAsia="標楷體" w:hAnsi="標楷體"/>
          <w:color w:val="0000FF"/>
          <w:sz w:val="28"/>
          <w:szCs w:val="28"/>
          <w:u w:val="single"/>
        </w:rPr>
        <w:t>0</w:t>
      </w:r>
      <w:r w:rsidR="009A0C7E" w:rsidRPr="009A0C7E">
        <w:rPr>
          <w:rFonts w:eastAsia="標楷體" w:hAnsi="標楷體" w:hint="eastAsia"/>
          <w:color w:val="0000FF"/>
          <w:sz w:val="28"/>
          <w:szCs w:val="28"/>
          <w:u w:val="single"/>
        </w:rPr>
        <w:t>%</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w:t>
      </w:r>
      <w:r w:rsidRPr="00997A4C">
        <w:rPr>
          <w:rFonts w:eastAsia="標楷體" w:hAnsi="標楷體"/>
          <w:color w:val="000000" w:themeColor="text1"/>
          <w:sz w:val="28"/>
          <w:szCs w:val="28"/>
        </w:rPr>
        <w:lastRenderedPageBreak/>
        <w:t>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w:t>
      </w:r>
      <w:r w:rsidRPr="00997A4C">
        <w:rPr>
          <w:rFonts w:eastAsia="標楷體" w:hAnsi="標楷體"/>
          <w:color w:val="000000" w:themeColor="text1"/>
          <w:sz w:val="28"/>
          <w:szCs w:val="28"/>
        </w:rPr>
        <w:lastRenderedPageBreak/>
        <w:t>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0953C0">
        <w:rPr>
          <w:rFonts w:ascii="標楷體" w:eastAsia="標楷體" w:hAnsi="標楷體" w:hint="eastAsia"/>
          <w:color w:val="000000" w:themeColor="text1"/>
          <w:sz w:val="28"/>
          <w:szCs w:val="32"/>
          <w:highlight w:val="yellow"/>
        </w:rPr>
        <w:t>（民國</w:t>
      </w:r>
      <w:r w:rsidR="000953C0" w:rsidRPr="000953C0">
        <w:rPr>
          <w:rFonts w:ascii="標楷體" w:eastAsia="標楷體" w:hAnsi="標楷體"/>
          <w:color w:val="000000" w:themeColor="text1"/>
          <w:sz w:val="28"/>
          <w:szCs w:val="32"/>
          <w:highlight w:val="yellow"/>
        </w:rPr>
        <w:t>110</w:t>
      </w:r>
      <w:r w:rsidRPr="000953C0">
        <w:rPr>
          <w:rFonts w:ascii="標楷體" w:eastAsia="標楷體" w:hAnsi="標楷體"/>
          <w:color w:val="000000" w:themeColor="text1"/>
          <w:sz w:val="28"/>
          <w:szCs w:val="32"/>
          <w:highlight w:val="yellow"/>
        </w:rPr>
        <w:t>年</w:t>
      </w:r>
      <w:r w:rsidR="007206F7">
        <w:rPr>
          <w:rFonts w:ascii="標楷體" w:eastAsia="標楷體" w:hAnsi="標楷體"/>
          <w:color w:val="000000" w:themeColor="text1"/>
          <w:sz w:val="28"/>
          <w:szCs w:val="32"/>
          <w:highlight w:val="yellow"/>
        </w:rPr>
        <w:t>4</w:t>
      </w:r>
      <w:r w:rsidRPr="000953C0">
        <w:rPr>
          <w:rFonts w:ascii="標楷體" w:eastAsia="標楷體" w:hAnsi="標楷體"/>
          <w:color w:val="000000" w:themeColor="text1"/>
          <w:sz w:val="28"/>
          <w:szCs w:val="32"/>
          <w:highlight w:val="yellow"/>
        </w:rPr>
        <w:t>月</w:t>
      </w:r>
      <w:r w:rsidR="007206F7">
        <w:rPr>
          <w:rFonts w:ascii="標楷體" w:eastAsia="標楷體" w:hAnsi="標楷體"/>
          <w:color w:val="000000" w:themeColor="text1"/>
          <w:sz w:val="28"/>
          <w:szCs w:val="32"/>
          <w:highlight w:val="yellow"/>
        </w:rPr>
        <w:t>6</w:t>
      </w:r>
      <w:r w:rsidRPr="000953C0">
        <w:rPr>
          <w:rFonts w:ascii="標楷體" w:eastAsia="標楷體" w:hAnsi="標楷體"/>
          <w:color w:val="000000" w:themeColor="text1"/>
          <w:sz w:val="28"/>
          <w:szCs w:val="32"/>
          <w:highlight w:val="yellow"/>
        </w:rPr>
        <w:t>日</w:t>
      </w:r>
      <w:r w:rsidR="00F23EB4">
        <w:rPr>
          <w:rFonts w:ascii="標楷體" w:eastAsia="標楷體" w:hAnsi="標楷體" w:hint="eastAsia"/>
          <w:color w:val="000000" w:themeColor="text1"/>
          <w:sz w:val="28"/>
          <w:szCs w:val="32"/>
          <w:highlight w:val="yellow"/>
        </w:rPr>
        <w:t>上</w:t>
      </w:r>
      <w:r w:rsidRPr="000953C0">
        <w:rPr>
          <w:rFonts w:ascii="標楷體" w:eastAsia="標楷體" w:hAnsi="標楷體"/>
          <w:color w:val="000000" w:themeColor="text1"/>
          <w:sz w:val="28"/>
          <w:szCs w:val="32"/>
          <w:highlight w:val="yellow"/>
        </w:rPr>
        <w:t>午</w:t>
      </w:r>
      <w:r w:rsidR="00F23EB4">
        <w:rPr>
          <w:rFonts w:ascii="標楷體" w:eastAsia="標楷體" w:hAnsi="標楷體"/>
          <w:color w:val="000000" w:themeColor="text1"/>
          <w:sz w:val="28"/>
          <w:szCs w:val="32"/>
          <w:highlight w:val="yellow"/>
        </w:rPr>
        <w:t>12</w:t>
      </w:r>
      <w:r w:rsidRPr="000953C0">
        <w:rPr>
          <w:rFonts w:ascii="標楷體" w:eastAsia="標楷體" w:hAnsi="標楷體"/>
          <w:color w:val="000000" w:themeColor="text1"/>
          <w:sz w:val="28"/>
          <w:szCs w:val="32"/>
          <w:highlight w:val="yellow"/>
        </w:rPr>
        <w:t>時</w:t>
      </w:r>
      <w:r w:rsidRPr="000953C0">
        <w:rPr>
          <w:rFonts w:ascii="標楷體" w:eastAsia="標楷體" w:hAnsi="標楷體" w:hint="eastAsia"/>
          <w:color w:val="000000" w:themeColor="text1"/>
          <w:sz w:val="28"/>
          <w:szCs w:val="32"/>
          <w:highlight w:val="yellow"/>
        </w:rPr>
        <w:t>）</w:t>
      </w:r>
      <w:r w:rsidRPr="00997A4C">
        <w:rPr>
          <w:rFonts w:eastAsia="標楷體" w:hAnsi="標楷體"/>
          <w:color w:val="000000" w:themeColor="text1"/>
          <w:sz w:val="28"/>
          <w:szCs w:val="32"/>
        </w:rPr>
        <w:t>前，以掛號郵遞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0953C0">
        <w:rPr>
          <w:rFonts w:ascii="標楷體" w:eastAsia="標楷體" w:hAnsi="標楷體" w:hint="eastAsia"/>
          <w:color w:val="000000" w:themeColor="text1"/>
          <w:sz w:val="28"/>
          <w:szCs w:val="32"/>
          <w:highlight w:val="yellow"/>
        </w:rPr>
        <w:t>7</w:t>
      </w:r>
      <w:r w:rsidR="000953C0">
        <w:rPr>
          <w:rFonts w:ascii="標楷體" w:eastAsia="標楷體" w:hAnsi="標楷體"/>
          <w:color w:val="000000" w:themeColor="text1"/>
          <w:sz w:val="28"/>
          <w:szCs w:val="32"/>
          <w:highlight w:val="yellow"/>
        </w:rPr>
        <w:t>09</w:t>
      </w:r>
      <w:r w:rsidR="00715E89" w:rsidRPr="00027C63">
        <w:rPr>
          <w:rFonts w:eastAsia="標楷體" w:hAnsi="標楷體"/>
          <w:color w:val="000000" w:themeColor="text1"/>
          <w:sz w:val="28"/>
          <w:szCs w:val="32"/>
          <w:highlight w:val="yellow"/>
        </w:rPr>
        <w:t>台南市</w:t>
      </w:r>
      <w:r w:rsidR="000953C0">
        <w:rPr>
          <w:rFonts w:ascii="標楷體" w:eastAsia="標楷體" w:hAnsi="標楷體" w:hint="eastAsia"/>
          <w:color w:val="000000" w:themeColor="text1"/>
          <w:sz w:val="28"/>
          <w:szCs w:val="32"/>
          <w:highlight w:val="yellow"/>
        </w:rPr>
        <w:t>安南</w:t>
      </w:r>
      <w:r w:rsidR="00715E89" w:rsidRPr="00027C63">
        <w:rPr>
          <w:rFonts w:eastAsia="標楷體" w:hAnsi="標楷體"/>
          <w:color w:val="000000" w:themeColor="text1"/>
          <w:sz w:val="28"/>
          <w:szCs w:val="32"/>
          <w:highlight w:val="yellow"/>
        </w:rPr>
        <w:t>區</w:t>
      </w:r>
      <w:r w:rsidR="000953C0">
        <w:rPr>
          <w:rFonts w:ascii="標楷體" w:eastAsia="標楷體" w:hAnsi="標楷體" w:hint="eastAsia"/>
          <w:color w:val="000000" w:themeColor="text1"/>
          <w:sz w:val="28"/>
          <w:szCs w:val="32"/>
          <w:highlight w:val="yellow"/>
        </w:rPr>
        <w:t>青砂</w:t>
      </w:r>
      <w:r w:rsidR="000953C0">
        <w:rPr>
          <w:rFonts w:ascii="標楷體" w:eastAsia="標楷體" w:hAnsi="標楷體"/>
          <w:color w:val="000000" w:themeColor="text1"/>
          <w:sz w:val="28"/>
          <w:szCs w:val="32"/>
          <w:highlight w:val="yellow"/>
        </w:rPr>
        <w:t>街二</w:t>
      </w:r>
      <w:r w:rsidR="000953C0">
        <w:rPr>
          <w:rFonts w:ascii="標楷體" w:eastAsia="標楷體" w:hAnsi="標楷體" w:hint="eastAsia"/>
          <w:color w:val="000000" w:themeColor="text1"/>
          <w:sz w:val="28"/>
          <w:szCs w:val="32"/>
          <w:highlight w:val="yellow"/>
        </w:rPr>
        <w:t>段105</w:t>
      </w:r>
      <w:r w:rsidR="00715E89" w:rsidRPr="00027C63">
        <w:rPr>
          <w:rFonts w:eastAsia="標楷體" w:hAnsi="標楷體"/>
          <w:color w:val="000000" w:themeColor="text1"/>
          <w:sz w:val="28"/>
          <w:szCs w:val="32"/>
          <w:highlight w:val="yellow"/>
        </w:rPr>
        <w:t>巷</w:t>
      </w:r>
      <w:r w:rsidR="000953C0">
        <w:rPr>
          <w:rFonts w:ascii="標楷體" w:eastAsia="標楷體" w:hAnsi="標楷體" w:hint="eastAsia"/>
          <w:color w:val="000000" w:themeColor="text1"/>
          <w:sz w:val="28"/>
          <w:szCs w:val="32"/>
          <w:highlight w:val="yellow"/>
        </w:rPr>
        <w:t>3</w:t>
      </w:r>
      <w:r w:rsidR="000953C0">
        <w:rPr>
          <w:rFonts w:ascii="標楷體" w:eastAsia="標楷體" w:hAnsi="標楷體"/>
          <w:color w:val="000000" w:themeColor="text1"/>
          <w:sz w:val="28"/>
          <w:szCs w:val="32"/>
          <w:highlight w:val="yellow"/>
        </w:rPr>
        <w:t>2</w:t>
      </w:r>
      <w:r w:rsidR="00715E89" w:rsidRPr="00027C63">
        <w:rPr>
          <w:rFonts w:eastAsia="標楷體" w:hAnsi="標楷體"/>
          <w:color w:val="000000" w:themeColor="text1"/>
          <w:sz w:val="28"/>
          <w:szCs w:val="32"/>
          <w:highlight w:val="yellow"/>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997A4C">
        <w:rPr>
          <w:rFonts w:eastAsia="標楷體" w:hAnsi="標楷體"/>
          <w:color w:val="000000" w:themeColor="text1"/>
          <w:sz w:val="28"/>
          <w:szCs w:val="32"/>
          <w:u w:val="single"/>
        </w:rPr>
        <w:t>10</w:t>
      </w:r>
      <w:r w:rsidRPr="00997A4C">
        <w:rPr>
          <w:rFonts w:eastAsia="標楷體" w:hAnsi="標楷體"/>
          <w:color w:val="000000" w:themeColor="text1"/>
          <w:sz w:val="28"/>
          <w:szCs w:val="32"/>
          <w:u w:val="single"/>
        </w:rPr>
        <w:t>萬元</w:t>
      </w:r>
      <w:r w:rsidRPr="00997A4C">
        <w:rPr>
          <w:rFonts w:eastAsia="標楷體" w:hAnsi="標楷體"/>
          <w:color w:val="000000" w:themeColor="text1"/>
          <w:sz w:val="28"/>
          <w:szCs w:val="32"/>
        </w:rPr>
        <w:t>，投標廠商應以下列方式繳納：現金（應於截止投標期前繳納至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）、金融機構所簽發之本票、支票、保付支票、郵政匯票（抬頭應書名：「</w:t>
      </w:r>
      <w:r w:rsidRPr="00605E90">
        <w:rPr>
          <w:rFonts w:eastAsia="標楷體" w:hAnsi="標楷體" w:hint="eastAsia"/>
          <w:color w:val="000000" w:themeColor="text1"/>
          <w:sz w:val="28"/>
          <w:szCs w:val="32"/>
          <w:highlight w:val="yellow"/>
        </w:rPr>
        <w:t>臺南市</w:t>
      </w:r>
      <w:r w:rsidR="000953C0">
        <w:rPr>
          <w:rFonts w:ascii="標楷體" w:eastAsia="標楷體" w:hAnsi="標楷體" w:hint="eastAsia"/>
          <w:color w:val="000000" w:themeColor="text1"/>
          <w:sz w:val="28"/>
          <w:szCs w:val="32"/>
          <w:highlight w:val="yellow"/>
        </w:rPr>
        <w:t>安</w:t>
      </w:r>
      <w:r w:rsidR="000953C0">
        <w:rPr>
          <w:rFonts w:ascii="標楷體" w:eastAsia="標楷體" w:hAnsi="標楷體"/>
          <w:color w:val="000000" w:themeColor="text1"/>
          <w:sz w:val="28"/>
          <w:szCs w:val="32"/>
          <w:highlight w:val="yellow"/>
        </w:rPr>
        <w:t>南</w:t>
      </w:r>
      <w:r w:rsidR="00605E90" w:rsidRPr="00605E90">
        <w:rPr>
          <w:rFonts w:eastAsia="標楷體" w:hAnsi="標楷體"/>
          <w:color w:val="000000" w:themeColor="text1"/>
          <w:sz w:val="28"/>
          <w:szCs w:val="32"/>
          <w:highlight w:val="yellow"/>
        </w:rPr>
        <w:t>區</w:t>
      </w:r>
      <w:r w:rsidR="000953C0">
        <w:rPr>
          <w:rFonts w:ascii="標楷體" w:eastAsia="標楷體" w:hAnsi="標楷體" w:hint="eastAsia"/>
          <w:color w:val="000000" w:themeColor="text1"/>
          <w:sz w:val="28"/>
          <w:szCs w:val="32"/>
          <w:highlight w:val="yellow"/>
        </w:rPr>
        <w:t>青草</w:t>
      </w:r>
      <w:r w:rsidR="00605E90" w:rsidRPr="00605E90">
        <w:rPr>
          <w:rFonts w:eastAsia="標楷體" w:hAnsi="標楷體"/>
          <w:color w:val="000000" w:themeColor="text1"/>
          <w:sz w:val="28"/>
          <w:szCs w:val="32"/>
          <w:highlight w:val="yellow"/>
        </w:rPr>
        <w:t>國民小學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lastRenderedPageBreak/>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指定之專戶）、金融機構所簽發之本票、支票、保付支票、郵政匯票（抬頭應書名：「</w:t>
      </w:r>
      <w:r w:rsidRPr="00997A4C">
        <w:rPr>
          <w:rFonts w:eastAsia="標楷體" w:hAnsi="標楷體" w:hint="eastAsia"/>
          <w:color w:val="000000" w:themeColor="text1"/>
          <w:sz w:val="28"/>
          <w:szCs w:val="32"/>
        </w:rPr>
        <w:t>臺南市</w:t>
      </w:r>
      <w:r w:rsidR="00CE2E38">
        <w:rPr>
          <w:rFonts w:ascii="標楷體" w:eastAsia="標楷體" w:hAnsi="標楷體" w:hint="eastAsia"/>
          <w:color w:val="000000" w:themeColor="text1"/>
          <w:sz w:val="28"/>
          <w:szCs w:val="32"/>
        </w:rPr>
        <w:t>◎◎</w:t>
      </w:r>
      <w:r w:rsidR="00D30629">
        <w:rPr>
          <w:rFonts w:eastAsia="標楷體" w:hAnsi="標楷體" w:hint="eastAsia"/>
          <w:color w:val="000000" w:themeColor="text1"/>
          <w:sz w:val="28"/>
          <w:szCs w:val="32"/>
        </w:rPr>
        <w:t>區</w:t>
      </w:r>
      <w:r w:rsidR="00CE2E38">
        <w:rPr>
          <w:rFonts w:ascii="標楷體" w:eastAsia="標楷體" w:hAnsi="標楷體" w:hint="eastAsia"/>
          <w:color w:val="000000" w:themeColor="text1"/>
          <w:sz w:val="28"/>
          <w:szCs w:val="32"/>
        </w:rPr>
        <w:t>◎◎</w:t>
      </w:r>
      <w:r w:rsidR="00962163">
        <w:rPr>
          <w:rFonts w:eastAsia="標楷體" w:hAnsi="標楷體" w:hint="eastAsia"/>
          <w:color w:val="000000" w:themeColor="text1"/>
          <w:sz w:val="28"/>
          <w:szCs w:val="32"/>
        </w:rPr>
        <w:t>國民小學</w:t>
      </w:r>
      <w:r w:rsidRPr="00997A4C">
        <w:rPr>
          <w:rFonts w:eastAsia="標楷體" w:hAnsi="標楷體"/>
          <w:color w:val="000000" w:themeColor="text1"/>
          <w:sz w:val="28"/>
          <w:szCs w:val="32"/>
        </w:rPr>
        <w:t>」後並予劃線），</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w:t>
      </w:r>
      <w:r w:rsidRPr="00997A4C">
        <w:rPr>
          <w:rFonts w:eastAsia="標楷體" w:hAnsi="標楷體" w:hint="eastAsia"/>
          <w:color w:val="000000" w:themeColor="text1"/>
          <w:sz w:val="28"/>
          <w:szCs w:val="32"/>
        </w:rPr>
        <w:lastRenderedPageBreak/>
        <w:t>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w:t>
      </w:r>
      <w:r w:rsidRPr="00997A4C">
        <w:rPr>
          <w:rFonts w:eastAsia="標楷體" w:hAnsi="標楷體"/>
          <w:color w:val="000000" w:themeColor="text1"/>
          <w:sz w:val="28"/>
          <w:szCs w:val="28"/>
        </w:rPr>
        <w:lastRenderedPageBreak/>
        <w:t>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lastRenderedPageBreak/>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w:t>
      </w:r>
      <w:r w:rsidR="00CE2E38" w:rsidRPr="00CE2E38">
        <w:rPr>
          <w:rFonts w:ascii="Times New Roman"/>
          <w:color w:val="0000FF"/>
          <w:szCs w:val="28"/>
        </w:rPr>
        <w:t>臺南市政府</w:t>
      </w:r>
      <w:r w:rsidRPr="00997A4C">
        <w:rPr>
          <w:rFonts w:ascii="Times New Roman"/>
          <w:color w:val="000000" w:themeColor="text1"/>
          <w:szCs w:val="28"/>
        </w:rPr>
        <w:t>工務局「臺南市樹木修剪施工要領」執行且須聘請具</w:t>
      </w:r>
      <w:r w:rsidR="00C96CA0" w:rsidRPr="00CE2E38">
        <w:rPr>
          <w:rFonts w:ascii="Times New Roman"/>
          <w:color w:val="0000FF"/>
          <w:szCs w:val="28"/>
        </w:rPr>
        <w:t>臺南市政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2306E4" w:rsidRDefault="002306E4"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2306E4" w:rsidRDefault="002306E4"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lastRenderedPageBreak/>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太陽光電模組鋁框與鋼構基材接觸位置應加裝鐵氟龍絕緣墊片以隔開二者，避免產生電位差腐蝕；螺絲組與太陽</w:t>
      </w:r>
      <w:r w:rsidRPr="005409FC">
        <w:rPr>
          <w:rFonts w:ascii="Times New Roman" w:hAnsi="標楷體"/>
          <w:szCs w:val="28"/>
        </w:rPr>
        <w:lastRenderedPageBreak/>
        <w:t>光電模組鋁框接觸處之平板華司下方應再加裝鐵氟龍絕緣墊片以隔開螺絲組及模組鋁框。</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被訴或被求償者，乙方應賠償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太陽光電發電系統建置完成後於租賃存續期間，設置標的房</w:t>
      </w:r>
      <w:r w:rsidRPr="002C16E6">
        <w:rPr>
          <w:rFonts w:ascii="Times New Roman" w:eastAsia="標楷體" w:hAnsi="Times New Roman" w:cs="Times New Roman" w:hint="eastAsia"/>
          <w:sz w:val="28"/>
          <w:szCs w:val="28"/>
        </w:rPr>
        <w:lastRenderedPageBreak/>
        <w:t>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2306E4" w:rsidRDefault="002306E4"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2306E4" w:rsidRDefault="002306E4"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，結構柱高起算點為屋頂下緣起算 7公尺為限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，結構柱高起算點為屋頂下緣起算7公尺為限，並符合現行建築法相關規定。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2306E4" w:rsidRPr="0008517D" w:rsidRDefault="002306E4"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2306E4" w:rsidRPr="0008517D" w:rsidRDefault="002306E4"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2306E4" w:rsidRPr="0008517D" w:rsidRDefault="002306E4"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2306E4" w:rsidRPr="0008517D" w:rsidRDefault="002306E4"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E13C9F"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3044]" strokeweight="3pt"/>
                <v:line id="直線接點 2" o:spid="_x0000_s1028"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64"/>
        <w:gridCol w:w="634"/>
        <w:gridCol w:w="809"/>
        <w:gridCol w:w="5583"/>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39"/>
        <w:gridCol w:w="634"/>
        <w:gridCol w:w="809"/>
        <w:gridCol w:w="5583"/>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8FAF6"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3214]" stroked="f" strokeweight="2pt"/>
                <v:rect id="矩形 22" o:spid="_x0000_s1028" style="position:absolute;left:16687;top:76;width:5944;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2306E4" w:rsidRPr="00C1358C" w:rsidRDefault="002306E4"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E3752B"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3" o:title=""/>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2306E4" w:rsidRPr="00C1358C" w:rsidRDefault="002306E4"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結構設計應符合「建築物耐風設計規範及解說」之規定，惟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7"/>
      <w:bookmarkEnd w:id="18"/>
      <w:bookmarkEnd w:id="19"/>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2306E4" w:rsidRPr="00C1358C" w:rsidRDefault="002306E4"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2306E4" w:rsidRPr="00C1358C" w:rsidRDefault="002306E4"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2306E4" w:rsidRPr="009B54CF" w:rsidRDefault="002306E4"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5AFD1F"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5" o:title=""/>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2306E4" w:rsidRPr="00C1358C" w:rsidRDefault="002306E4"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2306E4" w:rsidRPr="00C1358C" w:rsidRDefault="002306E4"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2306E4" w:rsidRPr="009B54CF" w:rsidRDefault="002306E4"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以上之壓克力透明漆之表面防蝕處理，除鋁擠型構材外的鋁合金</w:t>
      </w:r>
      <w:r w:rsidRPr="00EF6059">
        <w:rPr>
          <w:rFonts w:ascii="標楷體" w:eastAsia="標楷體" w:hAnsi="標楷體"/>
          <w:color w:val="000000" w:themeColor="text1"/>
          <w:kern w:val="0"/>
          <w:sz w:val="28"/>
          <w:szCs w:val="28"/>
        </w:rPr>
        <w:lastRenderedPageBreak/>
        <w:t>板、小配件等之表面處理方式可為陽極處理厚度7µm以上及外加一層膜厚7µm以上之壓克力透明漆，且皆需取得具有TAF認可之測試實驗室測試合格報告。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r w:rsidRPr="002A0E35">
        <w:rPr>
          <w:sz w:val="28"/>
          <w:szCs w:val="28"/>
        </w:rPr>
        <w:lastRenderedPageBreak/>
        <w:t>面層設計規劃示意圖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7"/>
        <w:gridCol w:w="6841"/>
        <w:gridCol w:w="735"/>
        <w:gridCol w:w="607"/>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鍍鋅或電鍍鋅材質或不銹鋼材質等抗腐蝕材質，並取得抗腐蝕品質測試報告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D9" w:rsidRDefault="00385AD9">
      <w:r>
        <w:separator/>
      </w:r>
    </w:p>
  </w:endnote>
  <w:endnote w:type="continuationSeparator" w:id="0">
    <w:p w:rsidR="00385AD9" w:rsidRDefault="0038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E4" w:rsidRDefault="002306E4"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06E4" w:rsidRDefault="002306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E4" w:rsidRDefault="002306E4"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23EB4">
      <w:rPr>
        <w:rStyle w:val="a9"/>
        <w:noProof/>
      </w:rPr>
      <w:t>9</w:t>
    </w:r>
    <w:r>
      <w:rPr>
        <w:rStyle w:val="a9"/>
      </w:rPr>
      <w:fldChar w:fldCharType="end"/>
    </w:r>
  </w:p>
  <w:p w:rsidR="002306E4" w:rsidRDefault="002306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D9" w:rsidRDefault="00385AD9">
      <w:r>
        <w:separator/>
      </w:r>
    </w:p>
  </w:footnote>
  <w:footnote w:type="continuationSeparator" w:id="0">
    <w:p w:rsidR="00385AD9" w:rsidRDefault="00385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3C0"/>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2C08"/>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06E4"/>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03FF"/>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5AD9"/>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9EB"/>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3A2F"/>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06F7"/>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6C9"/>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01C"/>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211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228"/>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826"/>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1A99"/>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3EB4"/>
    <w:rsid w:val="00F24709"/>
    <w:rsid w:val="00F253C0"/>
    <w:rsid w:val="00F25884"/>
    <w:rsid w:val="00F26523"/>
    <w:rsid w:val="00F30105"/>
    <w:rsid w:val="00F30794"/>
    <w:rsid w:val="00F30BCF"/>
    <w:rsid w:val="00F30CDC"/>
    <w:rsid w:val="00F3291D"/>
    <w:rsid w:val="00F33370"/>
    <w:rsid w:val="00F34285"/>
    <w:rsid w:val="00F35CA6"/>
    <w:rsid w:val="00F365AA"/>
    <w:rsid w:val="00F36F7B"/>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67EAB0-F614-4419-921F-1E8D24A5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EB5B-AB2E-4712-B85F-73785A4C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35</Pages>
  <Words>3331</Words>
  <Characters>18992</Characters>
  <Application>Microsoft Office Word</Application>
  <DocSecurity>0</DocSecurity>
  <Lines>158</Lines>
  <Paragraphs>44</Paragraphs>
  <ScaleCrop>false</ScaleCrop>
  <Company>iMAX Design.</Company>
  <LinksUpToDate>false</LinksUpToDate>
  <CharactersWithSpaces>22279</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user</cp:lastModifiedBy>
  <cp:revision>26</cp:revision>
  <cp:lastPrinted>2021-02-20T06:16:00Z</cp:lastPrinted>
  <dcterms:created xsi:type="dcterms:W3CDTF">2019-04-18T01:27:00Z</dcterms:created>
  <dcterms:modified xsi:type="dcterms:W3CDTF">2021-03-23T03:57:00Z</dcterms:modified>
</cp:coreProperties>
</file>