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B9E" w:rsidRPr="00D36B9E" w:rsidRDefault="00D36B9E" w:rsidP="00D36B9E">
      <w:pPr>
        <w:tabs>
          <w:tab w:val="right" w:pos="14570"/>
        </w:tabs>
        <w:snapToGrid w:val="0"/>
        <w:spacing w:line="400" w:lineRule="exact"/>
        <w:ind w:right="-180"/>
        <w:jc w:val="center"/>
        <w:rPr>
          <w:rFonts w:eastAsia="標楷體"/>
          <w:b/>
          <w:bCs/>
          <w:sz w:val="32"/>
          <w:szCs w:val="32"/>
        </w:rPr>
      </w:pPr>
      <w:r w:rsidRPr="00D36B9E">
        <w:rPr>
          <w:rFonts w:eastAsia="標楷體" w:hint="eastAsia"/>
          <w:b/>
          <w:bCs/>
          <w:sz w:val="32"/>
          <w:szCs w:val="32"/>
        </w:rPr>
        <w:t>教育部補助高級中等以下學校及幼兒園教師在職進修作業要點</w:t>
      </w:r>
      <w:r w:rsidR="00AB0F7E" w:rsidRPr="00AB0F7E">
        <w:rPr>
          <w:rFonts w:eastAsia="標楷體" w:hint="eastAsia"/>
          <w:b/>
          <w:bCs/>
          <w:sz w:val="32"/>
          <w:szCs w:val="32"/>
        </w:rPr>
        <w:t>第五點、第六點、第八點</w:t>
      </w:r>
      <w:r w:rsidRPr="00D36B9E">
        <w:rPr>
          <w:rFonts w:eastAsia="標楷體" w:hint="eastAsia"/>
          <w:b/>
          <w:bCs/>
          <w:sz w:val="32"/>
          <w:szCs w:val="32"/>
        </w:rPr>
        <w:t>修正</w:t>
      </w:r>
      <w:r w:rsidR="00AB0F7E">
        <w:rPr>
          <w:rFonts w:eastAsia="標楷體" w:hint="eastAsia"/>
          <w:b/>
          <w:bCs/>
          <w:sz w:val="32"/>
          <w:szCs w:val="32"/>
        </w:rPr>
        <w:t>規定</w:t>
      </w:r>
    </w:p>
    <w:p w:rsidR="00AB0F7E" w:rsidRPr="00AB0F7E" w:rsidRDefault="00AB0F7E" w:rsidP="00AB0F7E">
      <w:pPr>
        <w:spacing w:line="520" w:lineRule="exact"/>
        <w:rPr>
          <w:rFonts w:ascii="標楷體" w:eastAsia="標楷體" w:hAnsi="標楷體"/>
          <w:bCs/>
          <w:color w:val="000000"/>
          <w:sz w:val="32"/>
          <w:szCs w:val="32"/>
        </w:rPr>
      </w:pPr>
      <w:r w:rsidRPr="00AB0F7E">
        <w:rPr>
          <w:rFonts w:ascii="標楷體" w:eastAsia="標楷體" w:hAnsi="標楷體"/>
          <w:bCs/>
          <w:color w:val="000000"/>
          <w:sz w:val="32"/>
          <w:szCs w:val="32"/>
        </w:rPr>
        <w:t>五、重點補助項目：</w:t>
      </w:r>
    </w:p>
    <w:p w:rsidR="00AB0F7E" w:rsidRPr="00AB0F7E" w:rsidRDefault="00AB0F7E" w:rsidP="00AB0F7E">
      <w:pPr>
        <w:widowControl/>
        <w:spacing w:line="520" w:lineRule="exact"/>
        <w:ind w:leftChars="250" w:left="1528" w:hangingChars="290" w:hanging="928"/>
        <w:rPr>
          <w:rFonts w:ascii="標楷體" w:eastAsia="標楷體" w:hAnsi="標楷體"/>
          <w:bCs/>
          <w:color w:val="000000"/>
          <w:sz w:val="32"/>
          <w:szCs w:val="32"/>
        </w:rPr>
      </w:pPr>
      <w:r w:rsidRPr="00AB0F7E">
        <w:rPr>
          <w:rFonts w:ascii="標楷體" w:eastAsia="標楷體" w:hAnsi="標楷體"/>
          <w:bCs/>
          <w:color w:val="000000"/>
          <w:sz w:val="32"/>
          <w:szCs w:val="32"/>
        </w:rPr>
        <w:t>（一）教師生涯發展課程：應依教師專業標準，就不同教師生涯發展階段縝密規劃。</w:t>
      </w:r>
    </w:p>
    <w:p w:rsidR="00AB0F7E" w:rsidRPr="00AB0F7E" w:rsidRDefault="00AB0F7E" w:rsidP="00AB0F7E">
      <w:pPr>
        <w:widowControl/>
        <w:spacing w:line="520" w:lineRule="exact"/>
        <w:ind w:leftChars="250" w:left="1512" w:hangingChars="285" w:hanging="912"/>
        <w:rPr>
          <w:rFonts w:ascii="標楷體" w:eastAsia="標楷體" w:hAnsi="標楷體"/>
          <w:bCs/>
          <w:color w:val="000000"/>
          <w:sz w:val="32"/>
          <w:szCs w:val="32"/>
        </w:rPr>
      </w:pPr>
      <w:r w:rsidRPr="00AB0F7E">
        <w:rPr>
          <w:rFonts w:ascii="標楷體" w:eastAsia="標楷體" w:hAnsi="標楷體"/>
          <w:bCs/>
          <w:color w:val="000000"/>
          <w:sz w:val="32"/>
          <w:szCs w:val="32"/>
        </w:rPr>
        <w:t>（二）</w:t>
      </w:r>
      <w:r w:rsidRPr="00AB0F7E">
        <w:rPr>
          <w:rFonts w:ascii="標楷體" w:eastAsia="標楷體" w:hAnsi="標楷體" w:hint="eastAsia"/>
          <w:bCs/>
          <w:color w:val="000000"/>
          <w:sz w:val="32"/>
          <w:szCs w:val="32"/>
        </w:rPr>
        <w:t>配合十二年國民基本教育課程綱要，新增、調整科目或其他開設教師所需增能課程。</w:t>
      </w:r>
    </w:p>
    <w:p w:rsidR="00AB0F7E" w:rsidRPr="00AB0F7E" w:rsidRDefault="00AB0F7E" w:rsidP="00AB0F7E">
      <w:pPr>
        <w:widowControl/>
        <w:spacing w:line="520" w:lineRule="exact"/>
        <w:ind w:leftChars="250" w:left="1512" w:hangingChars="285" w:hanging="912"/>
        <w:rPr>
          <w:rFonts w:ascii="標楷體" w:eastAsia="標楷體" w:hAnsi="標楷體"/>
          <w:bCs/>
          <w:color w:val="000000"/>
          <w:sz w:val="32"/>
          <w:szCs w:val="32"/>
        </w:rPr>
      </w:pPr>
      <w:r w:rsidRPr="00AB0F7E">
        <w:rPr>
          <w:rFonts w:ascii="標楷體" w:eastAsia="標楷體" w:hAnsi="標楷體"/>
          <w:bCs/>
          <w:color w:val="000000"/>
          <w:sz w:val="32"/>
          <w:szCs w:val="32"/>
        </w:rPr>
        <w:t>（三）</w:t>
      </w:r>
      <w:r w:rsidRPr="00AB0F7E">
        <w:rPr>
          <w:rFonts w:ascii="標楷體" w:eastAsia="標楷體" w:hAnsi="標楷體" w:hint="eastAsia"/>
          <w:bCs/>
          <w:color w:val="000000"/>
          <w:sz w:val="32"/>
          <w:szCs w:val="32"/>
        </w:rPr>
        <w:t>配合十二年國民基本教育「國中教學正常化、適性輔導及品質提升」、「國中小補救教學」及「高中高職教師教學品質提升」等方案與推動師資培育白皮書，設置進修學院，辦理教師專業成長所需增能課程及活動等。</w:t>
      </w:r>
    </w:p>
    <w:p w:rsidR="00AB0F7E" w:rsidRPr="00AB0F7E" w:rsidRDefault="00AB0F7E" w:rsidP="00AB0F7E">
      <w:pPr>
        <w:widowControl/>
        <w:spacing w:line="520" w:lineRule="exact"/>
        <w:ind w:leftChars="250" w:left="1512" w:hangingChars="285" w:hanging="912"/>
        <w:rPr>
          <w:rFonts w:ascii="標楷體" w:eastAsia="標楷體" w:hAnsi="標楷體"/>
          <w:bCs/>
          <w:color w:val="000000"/>
          <w:sz w:val="32"/>
          <w:szCs w:val="32"/>
        </w:rPr>
      </w:pPr>
      <w:r w:rsidRPr="00AB0F7E">
        <w:rPr>
          <w:rFonts w:ascii="標楷體" w:eastAsia="標楷體" w:hAnsi="標楷體" w:hint="eastAsia"/>
          <w:bCs/>
          <w:color w:val="000000"/>
          <w:sz w:val="32"/>
          <w:szCs w:val="32"/>
        </w:rPr>
        <w:t>（四）地方政府所主管高級中等以下學校積極推動十二年國民基本教育，深化教師增能五堂課及有效教學基地計畫。</w:t>
      </w:r>
    </w:p>
    <w:p w:rsidR="00AB0F7E" w:rsidRPr="00AB0F7E" w:rsidRDefault="00AB0F7E" w:rsidP="00AB0F7E">
      <w:pPr>
        <w:widowControl/>
        <w:spacing w:line="520" w:lineRule="exact"/>
        <w:ind w:leftChars="250" w:left="1512" w:hangingChars="285" w:hanging="912"/>
        <w:rPr>
          <w:rFonts w:ascii="標楷體" w:eastAsia="標楷體" w:hAnsi="標楷體"/>
          <w:bCs/>
          <w:color w:val="000000"/>
          <w:sz w:val="32"/>
          <w:szCs w:val="32"/>
        </w:rPr>
      </w:pPr>
      <w:r w:rsidRPr="00AB0F7E">
        <w:rPr>
          <w:rFonts w:ascii="標楷體" w:eastAsia="標楷體" w:hAnsi="標楷體" w:hint="eastAsia"/>
          <w:bCs/>
          <w:color w:val="000000"/>
          <w:sz w:val="32"/>
          <w:szCs w:val="32"/>
        </w:rPr>
        <w:t>（五）地方政府所主管高級中等以下學校與師資培育大學共同合作班群教學等實驗或試辦計畫或駐點服務等工作。</w:t>
      </w:r>
    </w:p>
    <w:p w:rsidR="00AB0F7E" w:rsidRPr="00AB0F7E" w:rsidRDefault="00AB0F7E" w:rsidP="00AB0F7E">
      <w:pPr>
        <w:widowControl/>
        <w:spacing w:line="520" w:lineRule="exact"/>
        <w:ind w:leftChars="250" w:left="1512" w:hangingChars="285" w:hanging="912"/>
        <w:rPr>
          <w:rFonts w:ascii="標楷體" w:eastAsia="標楷體" w:hAnsi="標楷體"/>
          <w:bCs/>
          <w:color w:val="000000"/>
          <w:sz w:val="32"/>
          <w:szCs w:val="32"/>
        </w:rPr>
      </w:pPr>
      <w:r w:rsidRPr="00AB0F7E">
        <w:rPr>
          <w:rFonts w:ascii="標楷體" w:eastAsia="標楷體" w:hAnsi="標楷體" w:hint="eastAsia"/>
          <w:bCs/>
          <w:color w:val="000000"/>
          <w:sz w:val="32"/>
          <w:szCs w:val="32"/>
        </w:rPr>
        <w:t>（六）地方政府配合辦理初任教師研習及輔導等工作。</w:t>
      </w:r>
    </w:p>
    <w:p w:rsidR="00AB0F7E" w:rsidRPr="00AB0F7E" w:rsidRDefault="00AB0F7E" w:rsidP="00AB0F7E">
      <w:pPr>
        <w:widowControl/>
        <w:spacing w:line="520" w:lineRule="exact"/>
        <w:ind w:leftChars="250" w:left="1512" w:hangingChars="285" w:hanging="912"/>
        <w:rPr>
          <w:rFonts w:ascii="標楷體" w:eastAsia="標楷體" w:hAnsi="標楷體"/>
          <w:bCs/>
          <w:color w:val="000000"/>
          <w:sz w:val="32"/>
          <w:szCs w:val="32"/>
        </w:rPr>
      </w:pPr>
      <w:r w:rsidRPr="00AB0F7E">
        <w:rPr>
          <w:rFonts w:ascii="標楷體" w:eastAsia="標楷體" w:hAnsi="標楷體" w:hint="eastAsia"/>
          <w:bCs/>
          <w:color w:val="000000"/>
          <w:sz w:val="32"/>
          <w:szCs w:val="32"/>
        </w:rPr>
        <w:t>（七）配合本部重大政策或重要議題辦理之數位研習課程、教師專業發展評鑑相關教師進修活動或工作坊等。</w:t>
      </w:r>
    </w:p>
    <w:p w:rsidR="00AB0F7E" w:rsidRPr="00AB0F7E" w:rsidRDefault="00AB0F7E" w:rsidP="00AB0F7E">
      <w:pPr>
        <w:widowControl/>
        <w:spacing w:line="520" w:lineRule="exact"/>
        <w:ind w:leftChars="250" w:left="1512" w:hangingChars="285" w:hanging="912"/>
        <w:rPr>
          <w:rFonts w:ascii="標楷體" w:eastAsia="標楷體" w:hAnsi="標楷體" w:hint="eastAsia"/>
          <w:bCs/>
          <w:color w:val="000000"/>
          <w:sz w:val="32"/>
          <w:szCs w:val="32"/>
        </w:rPr>
      </w:pPr>
      <w:r w:rsidRPr="00AB0F7E">
        <w:rPr>
          <w:rFonts w:ascii="標楷體" w:eastAsia="標楷體" w:hAnsi="標楷體" w:hint="eastAsia"/>
          <w:bCs/>
          <w:color w:val="000000"/>
          <w:sz w:val="32"/>
          <w:szCs w:val="32"/>
        </w:rPr>
        <w:t>（八）其他重要議題，例如英語文教學、安全與防災教育、資訊科技與媒體素養、數位學習、法治教育、生命教育、人權教育、勞動教育、家政教育、家庭教育、現代公民教育、性別平等教育、生涯規劃(生涯發展教育)、環境教育、藥物教育、性教育、永續發展、智慧財產權保護、海洋教育、多元文化教育、新移民教育、原住民教育、本土教育、藝術與美感教育、品德教育、閱讀理解策略、情緒管理、國際教育、理財教育、消費者保護、山野教育及其他新興議題等。</w:t>
      </w:r>
    </w:p>
    <w:p w:rsidR="00AB0F7E" w:rsidRPr="00AB0F7E" w:rsidRDefault="00AB0F7E" w:rsidP="00AB0F7E">
      <w:pPr>
        <w:spacing w:line="520" w:lineRule="exact"/>
        <w:rPr>
          <w:rFonts w:ascii="標楷體" w:eastAsia="標楷體" w:hAnsi="標楷體"/>
          <w:bCs/>
          <w:color w:val="000000"/>
          <w:sz w:val="32"/>
          <w:szCs w:val="32"/>
        </w:rPr>
      </w:pPr>
      <w:r w:rsidRPr="00AB0F7E">
        <w:rPr>
          <w:rFonts w:ascii="標楷體" w:eastAsia="標楷體" w:hAnsi="標楷體"/>
          <w:bCs/>
          <w:color w:val="000000"/>
          <w:sz w:val="32"/>
          <w:szCs w:val="32"/>
        </w:rPr>
        <w:t>六、開班原則：</w:t>
      </w:r>
    </w:p>
    <w:p w:rsidR="00AB0F7E" w:rsidRPr="00AB0F7E" w:rsidRDefault="00AB0F7E" w:rsidP="00AB0F7E">
      <w:pPr>
        <w:widowControl/>
        <w:spacing w:line="520" w:lineRule="exact"/>
        <w:ind w:leftChars="250" w:left="1512" w:hangingChars="285" w:hanging="912"/>
        <w:rPr>
          <w:rFonts w:ascii="標楷體" w:eastAsia="標楷體" w:hAnsi="標楷體"/>
          <w:bCs/>
          <w:color w:val="000000"/>
          <w:sz w:val="32"/>
          <w:szCs w:val="32"/>
        </w:rPr>
      </w:pPr>
      <w:r w:rsidRPr="00AB0F7E">
        <w:rPr>
          <w:rFonts w:ascii="標楷體" w:eastAsia="標楷體" w:hAnsi="標楷體" w:hint="eastAsia"/>
          <w:bCs/>
          <w:color w:val="000000"/>
          <w:sz w:val="32"/>
          <w:szCs w:val="32"/>
        </w:rPr>
        <w:lastRenderedPageBreak/>
        <w:t>（一）師資培育之大學、師範大學設置之進修學院、地方政府及所主管高級中等以下學校得申請開設之班別規定如下（以◎表示得申請開班者）：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675"/>
        <w:gridCol w:w="1677"/>
        <w:gridCol w:w="1673"/>
        <w:gridCol w:w="1677"/>
        <w:gridCol w:w="1673"/>
      </w:tblGrid>
      <w:tr w:rsidR="00AB0F7E" w:rsidRPr="00AB0F7E" w:rsidTr="00D340A1">
        <w:trPr>
          <w:trHeight w:val="20"/>
          <w:jc w:val="center"/>
        </w:trPr>
        <w:tc>
          <w:tcPr>
            <w:tcW w:w="845" w:type="pct"/>
            <w:tcBorders>
              <w:tl2br w:val="single" w:sz="4" w:space="0" w:color="auto"/>
            </w:tcBorders>
            <w:shd w:val="clear" w:color="auto" w:fill="auto"/>
          </w:tcPr>
          <w:p w:rsidR="00AB0F7E" w:rsidRPr="00AB0F7E" w:rsidRDefault="00AB0F7E" w:rsidP="00D340A1">
            <w:pPr>
              <w:widowControl/>
              <w:tabs>
                <w:tab w:val="center" w:pos="4153"/>
                <w:tab w:val="right" w:pos="8306"/>
              </w:tabs>
              <w:snapToGrid w:val="0"/>
              <w:spacing w:line="0" w:lineRule="atLeast"/>
              <w:jc w:val="right"/>
              <w:rPr>
                <w:rFonts w:ascii="標楷體" w:eastAsia="標楷體" w:hAnsi="標楷體"/>
                <w:bCs/>
                <w:color w:val="000000"/>
                <w:sz w:val="32"/>
                <w:szCs w:val="32"/>
              </w:rPr>
            </w:pPr>
            <w:r w:rsidRPr="00AB0F7E">
              <w:rPr>
                <w:rFonts w:ascii="標楷體" w:eastAsia="標楷體" w:hAnsi="標楷體" w:hint="eastAsia"/>
                <w:bCs/>
                <w:color w:val="000000"/>
                <w:sz w:val="32"/>
                <w:szCs w:val="32"/>
              </w:rPr>
              <w:t>班別</w:t>
            </w:r>
          </w:p>
          <w:p w:rsidR="00AB0F7E" w:rsidRPr="00AB0F7E" w:rsidRDefault="00AB0F7E" w:rsidP="00D340A1">
            <w:pPr>
              <w:widowControl/>
              <w:tabs>
                <w:tab w:val="center" w:pos="4153"/>
                <w:tab w:val="right" w:pos="8306"/>
              </w:tabs>
              <w:snapToGrid w:val="0"/>
              <w:spacing w:line="0" w:lineRule="atLeast"/>
              <w:rPr>
                <w:rFonts w:ascii="標楷體" w:eastAsia="標楷體" w:hAnsi="標楷體"/>
                <w:bCs/>
                <w:color w:val="000000"/>
                <w:sz w:val="32"/>
                <w:szCs w:val="32"/>
              </w:rPr>
            </w:pPr>
            <w:r w:rsidRPr="00AB0F7E">
              <w:rPr>
                <w:rFonts w:ascii="標楷體" w:eastAsia="標楷體" w:hAnsi="標楷體" w:hint="eastAsia"/>
                <w:bCs/>
                <w:color w:val="000000"/>
                <w:sz w:val="32"/>
                <w:szCs w:val="32"/>
              </w:rPr>
              <w:t>辦理</w:t>
            </w:r>
            <w:r w:rsidRPr="00AB0F7E">
              <w:rPr>
                <w:rFonts w:ascii="標楷體" w:eastAsia="標楷體" w:hAnsi="標楷體"/>
                <w:bCs/>
                <w:color w:val="000000"/>
                <w:sz w:val="32"/>
                <w:szCs w:val="32"/>
              </w:rPr>
              <w:br/>
            </w:r>
            <w:r w:rsidRPr="00AB0F7E">
              <w:rPr>
                <w:rFonts w:ascii="標楷體" w:eastAsia="標楷體" w:hAnsi="標楷體" w:hint="eastAsia"/>
                <w:bCs/>
                <w:color w:val="000000"/>
                <w:sz w:val="32"/>
                <w:szCs w:val="32"/>
              </w:rPr>
              <w:t>單位別</w:t>
            </w:r>
          </w:p>
        </w:tc>
        <w:tc>
          <w:tcPr>
            <w:tcW w:w="831" w:type="pct"/>
            <w:shd w:val="clear" w:color="auto" w:fill="auto"/>
          </w:tcPr>
          <w:p w:rsidR="00AB0F7E" w:rsidRPr="00AB0F7E" w:rsidRDefault="00AB0F7E" w:rsidP="00D340A1">
            <w:pPr>
              <w:widowControl/>
              <w:tabs>
                <w:tab w:val="center" w:pos="4153"/>
                <w:tab w:val="right" w:pos="8306"/>
              </w:tabs>
              <w:snapToGrid w:val="0"/>
              <w:spacing w:line="0" w:lineRule="atLeast"/>
              <w:jc w:val="both"/>
              <w:rPr>
                <w:rFonts w:ascii="標楷體" w:eastAsia="標楷體" w:hAnsi="標楷體"/>
                <w:bCs/>
                <w:color w:val="000000"/>
                <w:sz w:val="32"/>
                <w:szCs w:val="32"/>
              </w:rPr>
            </w:pPr>
            <w:r w:rsidRPr="00AB0F7E">
              <w:rPr>
                <w:rFonts w:ascii="標楷體" w:eastAsia="標楷體" w:hAnsi="標楷體" w:hint="eastAsia"/>
                <w:bCs/>
                <w:color w:val="000000"/>
                <w:sz w:val="32"/>
                <w:szCs w:val="32"/>
              </w:rPr>
              <w:t>領域教學學分班</w:t>
            </w:r>
          </w:p>
        </w:tc>
        <w:tc>
          <w:tcPr>
            <w:tcW w:w="832" w:type="pct"/>
            <w:shd w:val="clear" w:color="auto" w:fill="auto"/>
          </w:tcPr>
          <w:p w:rsidR="00AB0F7E" w:rsidRPr="00AB0F7E" w:rsidRDefault="00AB0F7E" w:rsidP="00D340A1">
            <w:pPr>
              <w:widowControl/>
              <w:tabs>
                <w:tab w:val="center" w:pos="4153"/>
                <w:tab w:val="right" w:pos="8306"/>
              </w:tabs>
              <w:snapToGrid w:val="0"/>
              <w:spacing w:line="0" w:lineRule="atLeast"/>
              <w:jc w:val="both"/>
              <w:rPr>
                <w:rFonts w:ascii="標楷體" w:eastAsia="標楷體" w:hAnsi="標楷體"/>
                <w:bCs/>
                <w:color w:val="000000"/>
                <w:sz w:val="32"/>
                <w:szCs w:val="32"/>
              </w:rPr>
            </w:pPr>
            <w:r w:rsidRPr="00AB0F7E">
              <w:rPr>
                <w:rFonts w:ascii="標楷體" w:eastAsia="標楷體" w:hAnsi="標楷體" w:hint="eastAsia"/>
                <w:bCs/>
                <w:color w:val="000000"/>
                <w:sz w:val="32"/>
                <w:szCs w:val="32"/>
              </w:rPr>
              <w:t>第二專長學分班</w:t>
            </w:r>
          </w:p>
        </w:tc>
        <w:tc>
          <w:tcPr>
            <w:tcW w:w="830" w:type="pct"/>
            <w:shd w:val="clear" w:color="auto" w:fill="auto"/>
          </w:tcPr>
          <w:p w:rsidR="00AB0F7E" w:rsidRPr="00AB0F7E" w:rsidRDefault="00AB0F7E" w:rsidP="00D340A1">
            <w:pPr>
              <w:widowControl/>
              <w:tabs>
                <w:tab w:val="center" w:pos="4153"/>
                <w:tab w:val="right" w:pos="8306"/>
              </w:tabs>
              <w:snapToGrid w:val="0"/>
              <w:spacing w:line="0" w:lineRule="atLeast"/>
              <w:jc w:val="both"/>
              <w:rPr>
                <w:rFonts w:ascii="標楷體" w:eastAsia="標楷體" w:hAnsi="標楷體"/>
                <w:bCs/>
                <w:color w:val="000000"/>
                <w:sz w:val="32"/>
                <w:szCs w:val="32"/>
              </w:rPr>
            </w:pPr>
            <w:r w:rsidRPr="00AB0F7E">
              <w:rPr>
                <w:rFonts w:ascii="標楷體" w:eastAsia="標楷體" w:hAnsi="標楷體" w:hint="eastAsia"/>
                <w:bCs/>
                <w:color w:val="000000"/>
                <w:sz w:val="32"/>
                <w:szCs w:val="32"/>
              </w:rPr>
              <w:t>專長增能學分班</w:t>
            </w:r>
          </w:p>
        </w:tc>
        <w:tc>
          <w:tcPr>
            <w:tcW w:w="832" w:type="pct"/>
            <w:shd w:val="clear" w:color="auto" w:fill="auto"/>
          </w:tcPr>
          <w:p w:rsidR="00AB0F7E" w:rsidRPr="00AB0F7E" w:rsidRDefault="00AB0F7E" w:rsidP="00D340A1">
            <w:pPr>
              <w:widowControl/>
              <w:tabs>
                <w:tab w:val="center" w:pos="4153"/>
                <w:tab w:val="right" w:pos="8306"/>
              </w:tabs>
              <w:snapToGrid w:val="0"/>
              <w:spacing w:line="0" w:lineRule="atLeast"/>
              <w:jc w:val="both"/>
              <w:rPr>
                <w:rFonts w:ascii="標楷體" w:eastAsia="標楷體" w:hAnsi="標楷體"/>
                <w:bCs/>
                <w:color w:val="000000"/>
                <w:sz w:val="32"/>
                <w:szCs w:val="32"/>
              </w:rPr>
            </w:pPr>
            <w:r w:rsidRPr="00AB0F7E">
              <w:rPr>
                <w:rFonts w:ascii="標楷體" w:eastAsia="標楷體" w:hAnsi="標楷體" w:hint="eastAsia"/>
                <w:bCs/>
                <w:color w:val="000000"/>
                <w:sz w:val="32"/>
                <w:szCs w:val="32"/>
              </w:rPr>
              <w:t>教師研習活動</w:t>
            </w:r>
          </w:p>
        </w:tc>
        <w:tc>
          <w:tcPr>
            <w:tcW w:w="830" w:type="pct"/>
            <w:shd w:val="clear" w:color="auto" w:fill="auto"/>
          </w:tcPr>
          <w:p w:rsidR="00AB0F7E" w:rsidRPr="00AB0F7E" w:rsidRDefault="00AB0F7E" w:rsidP="00D340A1">
            <w:pPr>
              <w:widowControl/>
              <w:tabs>
                <w:tab w:val="center" w:pos="4153"/>
                <w:tab w:val="right" w:pos="8306"/>
              </w:tabs>
              <w:snapToGrid w:val="0"/>
              <w:spacing w:line="0" w:lineRule="atLeast"/>
              <w:jc w:val="both"/>
              <w:rPr>
                <w:rFonts w:ascii="標楷體" w:eastAsia="標楷體" w:hAnsi="標楷體"/>
                <w:bCs/>
                <w:color w:val="000000"/>
                <w:sz w:val="32"/>
                <w:szCs w:val="32"/>
              </w:rPr>
            </w:pPr>
            <w:r w:rsidRPr="00AB0F7E">
              <w:rPr>
                <w:rFonts w:ascii="標楷體" w:eastAsia="標楷體" w:hAnsi="標楷體" w:hint="eastAsia"/>
                <w:bCs/>
                <w:color w:val="000000"/>
                <w:sz w:val="32"/>
                <w:szCs w:val="32"/>
              </w:rPr>
              <w:t>國民小學加註領域專長學分班</w:t>
            </w:r>
          </w:p>
        </w:tc>
      </w:tr>
      <w:tr w:rsidR="00AB0F7E" w:rsidRPr="00AB0F7E" w:rsidTr="00D340A1">
        <w:trPr>
          <w:trHeight w:val="20"/>
          <w:jc w:val="center"/>
        </w:trPr>
        <w:tc>
          <w:tcPr>
            <w:tcW w:w="845" w:type="pct"/>
            <w:shd w:val="clear" w:color="auto" w:fill="auto"/>
            <w:vAlign w:val="center"/>
          </w:tcPr>
          <w:p w:rsidR="00AB0F7E" w:rsidRPr="00AB0F7E" w:rsidRDefault="00AB0F7E" w:rsidP="00D340A1">
            <w:pPr>
              <w:widowControl/>
              <w:tabs>
                <w:tab w:val="center" w:pos="4153"/>
                <w:tab w:val="right" w:pos="8306"/>
              </w:tabs>
              <w:snapToGrid w:val="0"/>
              <w:spacing w:line="0" w:lineRule="atLeast"/>
              <w:jc w:val="both"/>
              <w:rPr>
                <w:rFonts w:ascii="標楷體" w:eastAsia="標楷體" w:hAnsi="標楷體"/>
                <w:bCs/>
                <w:color w:val="000000"/>
                <w:sz w:val="32"/>
                <w:szCs w:val="32"/>
              </w:rPr>
            </w:pPr>
            <w:r w:rsidRPr="00AB0F7E">
              <w:rPr>
                <w:rFonts w:ascii="標楷體" w:eastAsia="標楷體" w:hAnsi="標楷體" w:hint="eastAsia"/>
                <w:bCs/>
                <w:color w:val="000000"/>
                <w:sz w:val="32"/>
                <w:szCs w:val="32"/>
              </w:rPr>
              <w:t>師資培育之大學</w:t>
            </w:r>
          </w:p>
        </w:tc>
        <w:tc>
          <w:tcPr>
            <w:tcW w:w="831" w:type="pct"/>
            <w:shd w:val="clear" w:color="auto" w:fill="auto"/>
            <w:vAlign w:val="center"/>
          </w:tcPr>
          <w:p w:rsidR="00AB0F7E" w:rsidRPr="00AB0F7E" w:rsidRDefault="00AB0F7E" w:rsidP="00D340A1">
            <w:pPr>
              <w:widowControl/>
              <w:tabs>
                <w:tab w:val="center" w:pos="4153"/>
                <w:tab w:val="right" w:pos="8306"/>
              </w:tabs>
              <w:snapToGrid w:val="0"/>
              <w:spacing w:line="0" w:lineRule="atLeast"/>
              <w:jc w:val="center"/>
              <w:rPr>
                <w:rFonts w:ascii="標楷體" w:eastAsia="標楷體" w:hAnsi="標楷體"/>
                <w:bCs/>
                <w:color w:val="000000"/>
                <w:sz w:val="32"/>
                <w:szCs w:val="32"/>
              </w:rPr>
            </w:pPr>
            <w:r w:rsidRPr="00AB0F7E">
              <w:rPr>
                <w:rFonts w:ascii="標楷體" w:eastAsia="標楷體" w:hAnsi="標楷體" w:hint="eastAsia"/>
                <w:sz w:val="32"/>
                <w:szCs w:val="32"/>
              </w:rPr>
              <w:t>◎</w:t>
            </w:r>
          </w:p>
        </w:tc>
        <w:tc>
          <w:tcPr>
            <w:tcW w:w="832" w:type="pct"/>
            <w:shd w:val="clear" w:color="auto" w:fill="auto"/>
            <w:vAlign w:val="center"/>
          </w:tcPr>
          <w:p w:rsidR="00AB0F7E" w:rsidRPr="00AB0F7E" w:rsidRDefault="00AB0F7E" w:rsidP="00D340A1">
            <w:pPr>
              <w:widowControl/>
              <w:tabs>
                <w:tab w:val="center" w:pos="4153"/>
                <w:tab w:val="right" w:pos="8306"/>
              </w:tabs>
              <w:snapToGrid w:val="0"/>
              <w:spacing w:line="0" w:lineRule="atLeast"/>
              <w:jc w:val="center"/>
              <w:rPr>
                <w:rFonts w:ascii="標楷體" w:eastAsia="標楷體" w:hAnsi="標楷體"/>
                <w:bCs/>
                <w:color w:val="000000"/>
                <w:sz w:val="32"/>
                <w:szCs w:val="32"/>
              </w:rPr>
            </w:pPr>
            <w:r w:rsidRPr="00AB0F7E">
              <w:rPr>
                <w:rFonts w:ascii="標楷體" w:eastAsia="標楷體" w:hAnsi="標楷體" w:hint="eastAsia"/>
                <w:sz w:val="32"/>
                <w:szCs w:val="32"/>
              </w:rPr>
              <w:t>◎</w:t>
            </w:r>
          </w:p>
        </w:tc>
        <w:tc>
          <w:tcPr>
            <w:tcW w:w="830" w:type="pct"/>
            <w:shd w:val="clear" w:color="auto" w:fill="auto"/>
            <w:vAlign w:val="center"/>
          </w:tcPr>
          <w:p w:rsidR="00AB0F7E" w:rsidRPr="00AB0F7E" w:rsidRDefault="00AB0F7E" w:rsidP="00D340A1">
            <w:pPr>
              <w:widowControl/>
              <w:tabs>
                <w:tab w:val="center" w:pos="4153"/>
                <w:tab w:val="right" w:pos="8306"/>
              </w:tabs>
              <w:snapToGrid w:val="0"/>
              <w:spacing w:line="0" w:lineRule="atLeast"/>
              <w:jc w:val="center"/>
              <w:rPr>
                <w:rFonts w:ascii="標楷體" w:eastAsia="標楷體" w:hAnsi="標楷體"/>
                <w:bCs/>
                <w:color w:val="000000"/>
                <w:sz w:val="32"/>
                <w:szCs w:val="32"/>
              </w:rPr>
            </w:pPr>
            <w:r w:rsidRPr="00AB0F7E">
              <w:rPr>
                <w:rFonts w:ascii="標楷體" w:eastAsia="標楷體" w:hAnsi="標楷體" w:hint="eastAsia"/>
                <w:sz w:val="32"/>
                <w:szCs w:val="32"/>
              </w:rPr>
              <w:t>◎</w:t>
            </w:r>
          </w:p>
        </w:tc>
        <w:tc>
          <w:tcPr>
            <w:tcW w:w="832" w:type="pct"/>
            <w:shd w:val="clear" w:color="auto" w:fill="auto"/>
            <w:vAlign w:val="center"/>
          </w:tcPr>
          <w:p w:rsidR="00AB0F7E" w:rsidRPr="00AB0F7E" w:rsidRDefault="00AB0F7E" w:rsidP="00D340A1">
            <w:pPr>
              <w:widowControl/>
              <w:tabs>
                <w:tab w:val="center" w:pos="4153"/>
                <w:tab w:val="right" w:pos="8306"/>
              </w:tabs>
              <w:snapToGrid w:val="0"/>
              <w:spacing w:line="0" w:lineRule="atLeast"/>
              <w:jc w:val="center"/>
              <w:rPr>
                <w:rFonts w:ascii="標楷體" w:eastAsia="標楷體" w:hAnsi="標楷體"/>
                <w:bCs/>
                <w:color w:val="000000"/>
                <w:sz w:val="32"/>
                <w:szCs w:val="32"/>
              </w:rPr>
            </w:pPr>
            <w:r w:rsidRPr="00AB0F7E">
              <w:rPr>
                <w:rFonts w:ascii="標楷體" w:eastAsia="標楷體" w:hAnsi="標楷體" w:hint="eastAsia"/>
                <w:sz w:val="32"/>
                <w:szCs w:val="32"/>
              </w:rPr>
              <w:t>◎</w:t>
            </w:r>
          </w:p>
        </w:tc>
        <w:tc>
          <w:tcPr>
            <w:tcW w:w="830" w:type="pct"/>
            <w:shd w:val="clear" w:color="auto" w:fill="auto"/>
            <w:vAlign w:val="center"/>
          </w:tcPr>
          <w:p w:rsidR="00AB0F7E" w:rsidRPr="00AB0F7E" w:rsidRDefault="00AB0F7E" w:rsidP="00D340A1">
            <w:pPr>
              <w:widowControl/>
              <w:tabs>
                <w:tab w:val="center" w:pos="4153"/>
                <w:tab w:val="right" w:pos="8306"/>
              </w:tabs>
              <w:snapToGrid w:val="0"/>
              <w:spacing w:line="0" w:lineRule="atLeast"/>
              <w:jc w:val="center"/>
              <w:rPr>
                <w:rFonts w:ascii="標楷體" w:eastAsia="標楷體" w:hAnsi="標楷體"/>
                <w:bCs/>
                <w:color w:val="000000"/>
                <w:sz w:val="32"/>
                <w:szCs w:val="32"/>
              </w:rPr>
            </w:pPr>
            <w:r w:rsidRPr="00AB0F7E">
              <w:rPr>
                <w:rFonts w:ascii="標楷體" w:eastAsia="標楷體" w:hAnsi="標楷體" w:hint="eastAsia"/>
                <w:sz w:val="32"/>
                <w:szCs w:val="32"/>
              </w:rPr>
              <w:t>◎</w:t>
            </w:r>
          </w:p>
        </w:tc>
      </w:tr>
      <w:tr w:rsidR="00AB0F7E" w:rsidRPr="00AB0F7E" w:rsidTr="00D340A1">
        <w:trPr>
          <w:trHeight w:val="20"/>
          <w:jc w:val="center"/>
        </w:trPr>
        <w:tc>
          <w:tcPr>
            <w:tcW w:w="845" w:type="pct"/>
            <w:shd w:val="clear" w:color="auto" w:fill="auto"/>
          </w:tcPr>
          <w:p w:rsidR="00AB0F7E" w:rsidRPr="00AB0F7E" w:rsidRDefault="00AB0F7E" w:rsidP="00D340A1">
            <w:pPr>
              <w:widowControl/>
              <w:tabs>
                <w:tab w:val="center" w:pos="4153"/>
                <w:tab w:val="right" w:pos="8306"/>
              </w:tabs>
              <w:snapToGrid w:val="0"/>
              <w:spacing w:line="0" w:lineRule="atLeast"/>
              <w:jc w:val="both"/>
              <w:rPr>
                <w:rFonts w:ascii="標楷體" w:eastAsia="標楷體" w:hAnsi="標楷體"/>
                <w:bCs/>
                <w:color w:val="000000"/>
                <w:sz w:val="32"/>
                <w:szCs w:val="32"/>
              </w:rPr>
            </w:pPr>
            <w:r w:rsidRPr="00AB0F7E">
              <w:rPr>
                <w:rFonts w:ascii="標楷體" w:eastAsia="標楷體" w:hAnsi="標楷體" w:hint="eastAsia"/>
                <w:bCs/>
                <w:color w:val="000000"/>
                <w:sz w:val="32"/>
                <w:szCs w:val="32"/>
              </w:rPr>
              <w:t>師範大學設置之進修學院</w:t>
            </w:r>
          </w:p>
        </w:tc>
        <w:tc>
          <w:tcPr>
            <w:tcW w:w="831" w:type="pct"/>
            <w:shd w:val="clear" w:color="auto" w:fill="auto"/>
            <w:vAlign w:val="center"/>
          </w:tcPr>
          <w:p w:rsidR="00AB0F7E" w:rsidRPr="00AB0F7E" w:rsidRDefault="00AB0F7E" w:rsidP="00D340A1">
            <w:pPr>
              <w:widowControl/>
              <w:tabs>
                <w:tab w:val="center" w:pos="4153"/>
                <w:tab w:val="right" w:pos="8306"/>
              </w:tabs>
              <w:snapToGrid w:val="0"/>
              <w:spacing w:line="0" w:lineRule="atLeast"/>
              <w:jc w:val="center"/>
              <w:rPr>
                <w:rFonts w:ascii="標楷體" w:eastAsia="標楷體" w:hAnsi="標楷體"/>
                <w:sz w:val="32"/>
                <w:szCs w:val="32"/>
              </w:rPr>
            </w:pPr>
            <w:r w:rsidRPr="00AB0F7E">
              <w:rPr>
                <w:rFonts w:ascii="標楷體" w:eastAsia="標楷體" w:hAnsi="標楷體" w:hint="eastAsia"/>
                <w:sz w:val="32"/>
                <w:szCs w:val="32"/>
              </w:rPr>
              <w:t>◎</w:t>
            </w:r>
          </w:p>
        </w:tc>
        <w:tc>
          <w:tcPr>
            <w:tcW w:w="832" w:type="pct"/>
            <w:shd w:val="clear" w:color="auto" w:fill="auto"/>
            <w:vAlign w:val="center"/>
          </w:tcPr>
          <w:p w:rsidR="00AB0F7E" w:rsidRPr="00AB0F7E" w:rsidRDefault="00AB0F7E" w:rsidP="00D340A1">
            <w:pPr>
              <w:tabs>
                <w:tab w:val="center" w:pos="4153"/>
                <w:tab w:val="right" w:pos="8306"/>
              </w:tabs>
              <w:snapToGrid w:val="0"/>
              <w:jc w:val="center"/>
              <w:rPr>
                <w:rFonts w:ascii="標楷體" w:eastAsia="標楷體" w:hAnsi="標楷體"/>
                <w:sz w:val="32"/>
                <w:szCs w:val="32"/>
              </w:rPr>
            </w:pPr>
            <w:r w:rsidRPr="00AB0F7E">
              <w:rPr>
                <w:rFonts w:ascii="標楷體" w:eastAsia="標楷體" w:hAnsi="標楷體" w:hint="eastAsia"/>
                <w:sz w:val="32"/>
                <w:szCs w:val="32"/>
              </w:rPr>
              <w:t>◎</w:t>
            </w:r>
          </w:p>
        </w:tc>
        <w:tc>
          <w:tcPr>
            <w:tcW w:w="830" w:type="pct"/>
            <w:shd w:val="clear" w:color="auto" w:fill="auto"/>
            <w:vAlign w:val="center"/>
          </w:tcPr>
          <w:p w:rsidR="00AB0F7E" w:rsidRPr="00AB0F7E" w:rsidRDefault="00AB0F7E" w:rsidP="00D340A1">
            <w:pPr>
              <w:tabs>
                <w:tab w:val="center" w:pos="4153"/>
                <w:tab w:val="right" w:pos="8306"/>
              </w:tabs>
              <w:snapToGrid w:val="0"/>
              <w:jc w:val="center"/>
              <w:rPr>
                <w:rFonts w:ascii="標楷體" w:eastAsia="標楷體" w:hAnsi="標楷體"/>
                <w:sz w:val="32"/>
                <w:szCs w:val="32"/>
              </w:rPr>
            </w:pPr>
            <w:r w:rsidRPr="00AB0F7E">
              <w:rPr>
                <w:rFonts w:ascii="標楷體" w:eastAsia="標楷體" w:hAnsi="標楷體" w:hint="eastAsia"/>
                <w:sz w:val="32"/>
                <w:szCs w:val="32"/>
              </w:rPr>
              <w:t>◎</w:t>
            </w:r>
          </w:p>
        </w:tc>
        <w:tc>
          <w:tcPr>
            <w:tcW w:w="832" w:type="pct"/>
            <w:shd w:val="clear" w:color="auto" w:fill="auto"/>
            <w:vAlign w:val="center"/>
          </w:tcPr>
          <w:p w:rsidR="00AB0F7E" w:rsidRPr="00AB0F7E" w:rsidRDefault="00AB0F7E" w:rsidP="00D340A1">
            <w:pPr>
              <w:tabs>
                <w:tab w:val="center" w:pos="4153"/>
                <w:tab w:val="right" w:pos="8306"/>
              </w:tabs>
              <w:snapToGrid w:val="0"/>
              <w:jc w:val="center"/>
              <w:rPr>
                <w:rFonts w:ascii="標楷體" w:eastAsia="標楷體" w:hAnsi="標楷體"/>
                <w:sz w:val="32"/>
                <w:szCs w:val="32"/>
              </w:rPr>
            </w:pPr>
            <w:r w:rsidRPr="00AB0F7E">
              <w:rPr>
                <w:rFonts w:ascii="標楷體" w:eastAsia="標楷體" w:hAnsi="標楷體" w:hint="eastAsia"/>
                <w:sz w:val="32"/>
                <w:szCs w:val="32"/>
              </w:rPr>
              <w:t>◎</w:t>
            </w:r>
          </w:p>
        </w:tc>
        <w:tc>
          <w:tcPr>
            <w:tcW w:w="830" w:type="pct"/>
            <w:shd w:val="clear" w:color="auto" w:fill="auto"/>
            <w:vAlign w:val="center"/>
          </w:tcPr>
          <w:p w:rsidR="00AB0F7E" w:rsidRPr="00AB0F7E" w:rsidRDefault="00AB0F7E" w:rsidP="00D340A1">
            <w:pPr>
              <w:tabs>
                <w:tab w:val="center" w:pos="4153"/>
                <w:tab w:val="right" w:pos="8306"/>
              </w:tabs>
              <w:snapToGrid w:val="0"/>
              <w:jc w:val="center"/>
              <w:rPr>
                <w:rFonts w:ascii="標楷體" w:eastAsia="標楷體" w:hAnsi="標楷體"/>
                <w:sz w:val="32"/>
                <w:szCs w:val="32"/>
              </w:rPr>
            </w:pPr>
            <w:r w:rsidRPr="00AB0F7E">
              <w:rPr>
                <w:rFonts w:ascii="標楷體" w:eastAsia="標楷體" w:hAnsi="標楷體" w:hint="eastAsia"/>
                <w:sz w:val="32"/>
                <w:szCs w:val="32"/>
              </w:rPr>
              <w:t>◎</w:t>
            </w:r>
          </w:p>
        </w:tc>
      </w:tr>
      <w:tr w:rsidR="00AB0F7E" w:rsidRPr="00AB0F7E" w:rsidTr="00D340A1">
        <w:trPr>
          <w:trHeight w:val="20"/>
          <w:jc w:val="center"/>
        </w:trPr>
        <w:tc>
          <w:tcPr>
            <w:tcW w:w="845" w:type="pct"/>
            <w:shd w:val="clear" w:color="auto" w:fill="auto"/>
            <w:vAlign w:val="center"/>
          </w:tcPr>
          <w:p w:rsidR="00AB0F7E" w:rsidRPr="00AB0F7E" w:rsidRDefault="00AB0F7E" w:rsidP="00D340A1">
            <w:pPr>
              <w:widowControl/>
              <w:tabs>
                <w:tab w:val="center" w:pos="4153"/>
                <w:tab w:val="right" w:pos="8306"/>
              </w:tabs>
              <w:snapToGrid w:val="0"/>
              <w:spacing w:line="0" w:lineRule="atLeast"/>
              <w:jc w:val="both"/>
              <w:rPr>
                <w:rFonts w:ascii="標楷體" w:eastAsia="標楷體" w:hAnsi="標楷體"/>
                <w:bCs/>
                <w:color w:val="000000"/>
                <w:sz w:val="32"/>
                <w:szCs w:val="32"/>
              </w:rPr>
            </w:pPr>
            <w:r w:rsidRPr="00AB0F7E">
              <w:rPr>
                <w:rFonts w:ascii="標楷體" w:eastAsia="標楷體" w:hAnsi="標楷體" w:hint="eastAsia"/>
                <w:bCs/>
                <w:color w:val="000000"/>
                <w:sz w:val="32"/>
                <w:szCs w:val="32"/>
              </w:rPr>
              <w:t>地方政府</w:t>
            </w:r>
          </w:p>
        </w:tc>
        <w:tc>
          <w:tcPr>
            <w:tcW w:w="831" w:type="pct"/>
            <w:shd w:val="clear" w:color="auto" w:fill="auto"/>
            <w:vAlign w:val="center"/>
          </w:tcPr>
          <w:p w:rsidR="00AB0F7E" w:rsidRPr="00AB0F7E" w:rsidRDefault="00AB0F7E" w:rsidP="00D340A1">
            <w:pPr>
              <w:widowControl/>
              <w:tabs>
                <w:tab w:val="center" w:pos="4153"/>
                <w:tab w:val="right" w:pos="8306"/>
              </w:tabs>
              <w:snapToGrid w:val="0"/>
              <w:spacing w:line="0" w:lineRule="atLeast"/>
              <w:jc w:val="center"/>
              <w:rPr>
                <w:rFonts w:ascii="標楷體" w:eastAsia="標楷體" w:hAnsi="標楷體"/>
                <w:bCs/>
                <w:color w:val="000000"/>
                <w:sz w:val="32"/>
                <w:szCs w:val="32"/>
              </w:rPr>
            </w:pPr>
          </w:p>
        </w:tc>
        <w:tc>
          <w:tcPr>
            <w:tcW w:w="832" w:type="pct"/>
            <w:shd w:val="clear" w:color="auto" w:fill="auto"/>
            <w:vAlign w:val="center"/>
          </w:tcPr>
          <w:p w:rsidR="00AB0F7E" w:rsidRPr="00AB0F7E" w:rsidRDefault="00AB0F7E" w:rsidP="00D340A1">
            <w:pPr>
              <w:widowControl/>
              <w:tabs>
                <w:tab w:val="center" w:pos="4153"/>
                <w:tab w:val="right" w:pos="8306"/>
              </w:tabs>
              <w:snapToGrid w:val="0"/>
              <w:spacing w:line="0" w:lineRule="atLeast"/>
              <w:jc w:val="center"/>
              <w:rPr>
                <w:rFonts w:ascii="標楷體" w:eastAsia="標楷體" w:hAnsi="標楷體"/>
                <w:bCs/>
                <w:color w:val="000000"/>
                <w:sz w:val="32"/>
                <w:szCs w:val="32"/>
              </w:rPr>
            </w:pPr>
          </w:p>
        </w:tc>
        <w:tc>
          <w:tcPr>
            <w:tcW w:w="830" w:type="pct"/>
            <w:shd w:val="clear" w:color="auto" w:fill="auto"/>
            <w:vAlign w:val="center"/>
          </w:tcPr>
          <w:p w:rsidR="00AB0F7E" w:rsidRPr="00AB0F7E" w:rsidRDefault="00AB0F7E" w:rsidP="00D340A1">
            <w:pPr>
              <w:widowControl/>
              <w:tabs>
                <w:tab w:val="center" w:pos="4153"/>
                <w:tab w:val="right" w:pos="8306"/>
              </w:tabs>
              <w:snapToGrid w:val="0"/>
              <w:spacing w:line="0" w:lineRule="atLeast"/>
              <w:jc w:val="center"/>
              <w:rPr>
                <w:rFonts w:ascii="標楷體" w:eastAsia="標楷體" w:hAnsi="標楷體"/>
                <w:bCs/>
                <w:color w:val="000000"/>
                <w:sz w:val="32"/>
                <w:szCs w:val="32"/>
              </w:rPr>
            </w:pPr>
          </w:p>
        </w:tc>
        <w:tc>
          <w:tcPr>
            <w:tcW w:w="832" w:type="pct"/>
            <w:shd w:val="clear" w:color="auto" w:fill="auto"/>
            <w:vAlign w:val="center"/>
          </w:tcPr>
          <w:p w:rsidR="00AB0F7E" w:rsidRPr="00AB0F7E" w:rsidRDefault="00AB0F7E" w:rsidP="00D340A1">
            <w:pPr>
              <w:widowControl/>
              <w:tabs>
                <w:tab w:val="center" w:pos="4153"/>
                <w:tab w:val="right" w:pos="8306"/>
              </w:tabs>
              <w:snapToGrid w:val="0"/>
              <w:spacing w:line="0" w:lineRule="atLeast"/>
              <w:jc w:val="center"/>
              <w:rPr>
                <w:rFonts w:ascii="標楷體" w:eastAsia="標楷體" w:hAnsi="標楷體"/>
                <w:bCs/>
                <w:color w:val="000000"/>
                <w:sz w:val="32"/>
                <w:szCs w:val="32"/>
              </w:rPr>
            </w:pPr>
            <w:r w:rsidRPr="00AB0F7E">
              <w:rPr>
                <w:rFonts w:ascii="標楷體" w:eastAsia="標楷體" w:hAnsi="標楷體" w:hint="eastAsia"/>
                <w:sz w:val="32"/>
                <w:szCs w:val="32"/>
              </w:rPr>
              <w:t>◎</w:t>
            </w:r>
          </w:p>
        </w:tc>
        <w:tc>
          <w:tcPr>
            <w:tcW w:w="830" w:type="pct"/>
            <w:shd w:val="clear" w:color="auto" w:fill="auto"/>
            <w:vAlign w:val="center"/>
          </w:tcPr>
          <w:p w:rsidR="00AB0F7E" w:rsidRPr="00AB0F7E" w:rsidRDefault="00AB0F7E" w:rsidP="00D340A1">
            <w:pPr>
              <w:widowControl/>
              <w:tabs>
                <w:tab w:val="center" w:pos="4153"/>
                <w:tab w:val="right" w:pos="8306"/>
              </w:tabs>
              <w:snapToGrid w:val="0"/>
              <w:spacing w:line="0" w:lineRule="atLeast"/>
              <w:jc w:val="center"/>
              <w:rPr>
                <w:rFonts w:ascii="標楷體" w:eastAsia="標楷體" w:hAnsi="標楷體"/>
                <w:bCs/>
                <w:color w:val="000000"/>
                <w:sz w:val="32"/>
                <w:szCs w:val="32"/>
              </w:rPr>
            </w:pPr>
          </w:p>
        </w:tc>
      </w:tr>
      <w:tr w:rsidR="00AB0F7E" w:rsidRPr="00AB0F7E" w:rsidTr="00D340A1">
        <w:trPr>
          <w:trHeight w:val="20"/>
          <w:jc w:val="center"/>
        </w:trPr>
        <w:tc>
          <w:tcPr>
            <w:tcW w:w="845" w:type="pct"/>
            <w:shd w:val="clear" w:color="auto" w:fill="auto"/>
            <w:vAlign w:val="center"/>
          </w:tcPr>
          <w:p w:rsidR="00AB0F7E" w:rsidRPr="00AB0F7E" w:rsidRDefault="00AB0F7E" w:rsidP="00D340A1">
            <w:pPr>
              <w:widowControl/>
              <w:tabs>
                <w:tab w:val="center" w:pos="4153"/>
                <w:tab w:val="right" w:pos="8306"/>
              </w:tabs>
              <w:snapToGrid w:val="0"/>
              <w:spacing w:line="0" w:lineRule="atLeast"/>
              <w:jc w:val="both"/>
              <w:rPr>
                <w:rFonts w:ascii="標楷體" w:eastAsia="標楷體" w:hAnsi="標楷體"/>
                <w:bCs/>
                <w:color w:val="000000"/>
                <w:sz w:val="32"/>
                <w:szCs w:val="32"/>
              </w:rPr>
            </w:pPr>
            <w:r w:rsidRPr="00AB0F7E">
              <w:rPr>
                <w:rFonts w:ascii="標楷體" w:eastAsia="標楷體" w:hAnsi="標楷體" w:hint="eastAsia"/>
                <w:bCs/>
                <w:color w:val="000000"/>
                <w:sz w:val="32"/>
                <w:szCs w:val="32"/>
              </w:rPr>
              <w:t>地方政府所主管高級中等以下學校</w:t>
            </w:r>
          </w:p>
        </w:tc>
        <w:tc>
          <w:tcPr>
            <w:tcW w:w="831" w:type="pct"/>
            <w:shd w:val="clear" w:color="auto" w:fill="auto"/>
            <w:vAlign w:val="center"/>
          </w:tcPr>
          <w:p w:rsidR="00AB0F7E" w:rsidRPr="00AB0F7E" w:rsidRDefault="00AB0F7E" w:rsidP="00D340A1">
            <w:pPr>
              <w:widowControl/>
              <w:tabs>
                <w:tab w:val="center" w:pos="4153"/>
                <w:tab w:val="right" w:pos="8306"/>
              </w:tabs>
              <w:snapToGrid w:val="0"/>
              <w:spacing w:line="0" w:lineRule="atLeast"/>
              <w:jc w:val="center"/>
              <w:rPr>
                <w:rFonts w:ascii="標楷體" w:eastAsia="標楷體" w:hAnsi="標楷體"/>
                <w:bCs/>
                <w:color w:val="000000"/>
                <w:sz w:val="32"/>
                <w:szCs w:val="32"/>
              </w:rPr>
            </w:pPr>
          </w:p>
        </w:tc>
        <w:tc>
          <w:tcPr>
            <w:tcW w:w="832" w:type="pct"/>
            <w:shd w:val="clear" w:color="auto" w:fill="auto"/>
            <w:vAlign w:val="center"/>
          </w:tcPr>
          <w:p w:rsidR="00AB0F7E" w:rsidRPr="00AB0F7E" w:rsidRDefault="00AB0F7E" w:rsidP="00D340A1">
            <w:pPr>
              <w:widowControl/>
              <w:tabs>
                <w:tab w:val="center" w:pos="4153"/>
                <w:tab w:val="right" w:pos="8306"/>
              </w:tabs>
              <w:snapToGrid w:val="0"/>
              <w:spacing w:line="0" w:lineRule="atLeast"/>
              <w:jc w:val="center"/>
              <w:rPr>
                <w:rFonts w:ascii="標楷體" w:eastAsia="標楷體" w:hAnsi="標楷體"/>
                <w:bCs/>
                <w:color w:val="000000"/>
                <w:sz w:val="32"/>
                <w:szCs w:val="32"/>
              </w:rPr>
            </w:pPr>
          </w:p>
        </w:tc>
        <w:tc>
          <w:tcPr>
            <w:tcW w:w="830" w:type="pct"/>
            <w:shd w:val="clear" w:color="auto" w:fill="auto"/>
            <w:vAlign w:val="center"/>
          </w:tcPr>
          <w:p w:rsidR="00AB0F7E" w:rsidRPr="00AB0F7E" w:rsidRDefault="00AB0F7E" w:rsidP="00D340A1">
            <w:pPr>
              <w:widowControl/>
              <w:tabs>
                <w:tab w:val="center" w:pos="4153"/>
                <w:tab w:val="right" w:pos="8306"/>
              </w:tabs>
              <w:snapToGrid w:val="0"/>
              <w:spacing w:line="0" w:lineRule="atLeast"/>
              <w:jc w:val="center"/>
              <w:rPr>
                <w:rFonts w:ascii="標楷體" w:eastAsia="標楷體" w:hAnsi="標楷體"/>
                <w:bCs/>
                <w:color w:val="000000"/>
                <w:sz w:val="32"/>
                <w:szCs w:val="32"/>
              </w:rPr>
            </w:pPr>
          </w:p>
        </w:tc>
        <w:tc>
          <w:tcPr>
            <w:tcW w:w="832" w:type="pct"/>
            <w:shd w:val="clear" w:color="auto" w:fill="auto"/>
            <w:vAlign w:val="center"/>
          </w:tcPr>
          <w:p w:rsidR="00AB0F7E" w:rsidRPr="00AB0F7E" w:rsidRDefault="00AB0F7E" w:rsidP="00D340A1">
            <w:pPr>
              <w:widowControl/>
              <w:tabs>
                <w:tab w:val="center" w:pos="4153"/>
                <w:tab w:val="right" w:pos="8306"/>
              </w:tabs>
              <w:snapToGrid w:val="0"/>
              <w:spacing w:line="0" w:lineRule="atLeast"/>
              <w:jc w:val="center"/>
              <w:rPr>
                <w:rFonts w:ascii="標楷體" w:eastAsia="標楷體" w:hAnsi="標楷體"/>
                <w:bCs/>
                <w:sz w:val="32"/>
                <w:szCs w:val="32"/>
              </w:rPr>
            </w:pPr>
            <w:r w:rsidRPr="00AB0F7E">
              <w:rPr>
                <w:rFonts w:ascii="標楷體" w:eastAsia="標楷體" w:hAnsi="標楷體" w:hint="eastAsia"/>
                <w:sz w:val="32"/>
                <w:szCs w:val="32"/>
              </w:rPr>
              <w:t>◎</w:t>
            </w:r>
          </w:p>
        </w:tc>
        <w:tc>
          <w:tcPr>
            <w:tcW w:w="830" w:type="pct"/>
            <w:shd w:val="clear" w:color="auto" w:fill="auto"/>
            <w:vAlign w:val="center"/>
          </w:tcPr>
          <w:p w:rsidR="00AB0F7E" w:rsidRPr="00AB0F7E" w:rsidRDefault="00AB0F7E" w:rsidP="00D340A1">
            <w:pPr>
              <w:widowControl/>
              <w:tabs>
                <w:tab w:val="center" w:pos="4153"/>
                <w:tab w:val="right" w:pos="8306"/>
              </w:tabs>
              <w:snapToGrid w:val="0"/>
              <w:spacing w:line="0" w:lineRule="atLeast"/>
              <w:jc w:val="center"/>
              <w:rPr>
                <w:rFonts w:ascii="標楷體" w:eastAsia="標楷體" w:hAnsi="標楷體"/>
                <w:bCs/>
                <w:color w:val="000000"/>
                <w:sz w:val="32"/>
                <w:szCs w:val="32"/>
              </w:rPr>
            </w:pPr>
          </w:p>
        </w:tc>
      </w:tr>
    </w:tbl>
    <w:p w:rsidR="00AB0F7E" w:rsidRPr="00AB0F7E" w:rsidRDefault="00AB0F7E" w:rsidP="00AB0F7E">
      <w:pPr>
        <w:widowControl/>
        <w:spacing w:line="520" w:lineRule="exact"/>
        <w:ind w:leftChars="250" w:left="1512" w:hangingChars="285" w:hanging="912"/>
        <w:rPr>
          <w:rFonts w:ascii="標楷體" w:eastAsia="標楷體" w:hAnsi="標楷體"/>
          <w:bCs/>
          <w:color w:val="000000"/>
          <w:sz w:val="32"/>
          <w:szCs w:val="32"/>
        </w:rPr>
      </w:pPr>
      <w:r w:rsidRPr="00AB0F7E">
        <w:rPr>
          <w:rFonts w:ascii="標楷體" w:eastAsia="標楷體" w:hAnsi="標楷體"/>
          <w:bCs/>
          <w:color w:val="000000"/>
          <w:sz w:val="32"/>
          <w:szCs w:val="32"/>
        </w:rPr>
        <w:t>（二）共同原則：</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bCs/>
          <w:color w:val="000000"/>
          <w:sz w:val="32"/>
          <w:szCs w:val="32"/>
        </w:rPr>
        <w:t>1、課程設計應兼具理論與實務，開設以教師為主體之工作坊進修模式，以增進教師教學能力。高級中等學校、國民中、小學教師進修班別，應由具經驗之高級中等學校、國民中、小學之校長、主任或教師等，共同規劃課程，並協同教學。</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bCs/>
          <w:color w:val="000000"/>
          <w:sz w:val="32"/>
          <w:szCs w:val="32"/>
        </w:rPr>
        <w:t>2、</w:t>
      </w:r>
      <w:r w:rsidRPr="00AB0F7E">
        <w:rPr>
          <w:rFonts w:ascii="標楷體" w:eastAsia="標楷體" w:hAnsi="標楷體" w:hint="eastAsia"/>
          <w:bCs/>
          <w:color w:val="000000"/>
          <w:sz w:val="32"/>
          <w:szCs w:val="32"/>
        </w:rPr>
        <w:t>辦理時間以寒暑假、夜間或週末實施為原則。但有特殊因素，得由師資培育之大學或師範大學設置之進修學院配合地方政府規劃，於平常教學日之共同進修時段辦理之。</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t>3、開課地點以於師資培育之大學或師範大學設置之進修學院內辦理為原則。但得考量多數學員交通之方便性，由地方政府、師資培育之大學或師範大學設置之進修學院，依校外教學相關規定，配合教師進修需求選定之（例如教師任職學校、縣（市）教師研習中心等）。</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lastRenderedPageBreak/>
        <w:t>4、每班以招收二十五名至五十名學員為原則。但有特殊因素須調整招生名額者，得於申請時敘明原因，報教育部（以下簡稱本部）核定。</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t>5、各辦理之師資培育之大學或師範大學設置之進修學院應於活動期間按研習相關評量基準，考核教師學習成效。</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t>6、各進修班次申請案經本部核定後，核定開班之師資培育之大學或師範大學設置之進修學院，應於開班十四日前，上網公告活動及報名相關資訊。</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jc w:val="both"/>
        <w:rPr>
          <w:rFonts w:ascii="標楷體" w:eastAsia="標楷體" w:hAnsi="標楷體"/>
          <w:bCs/>
          <w:color w:val="000000"/>
          <w:sz w:val="32"/>
          <w:szCs w:val="32"/>
        </w:rPr>
      </w:pPr>
      <w:r w:rsidRPr="00AB0F7E">
        <w:rPr>
          <w:rFonts w:ascii="標楷體" w:eastAsia="標楷體" w:hAnsi="標楷體" w:hint="eastAsia"/>
          <w:bCs/>
          <w:color w:val="000000"/>
          <w:sz w:val="32"/>
          <w:szCs w:val="32"/>
        </w:rPr>
        <w:t>7、為增進各地方政府主管之學校教師之教學專業知能，並符合渠等教師進修之需求，鼓勵地方政府協同各師資培育之大學或師範大學設置之進修學院提報開班計畫辦理教師在職進修相關研習活動。</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t>8、師資培育之大學或師範大學設置之進修學院申請辦理教師在職進修學分班，應檢附鄰近地方政府對其主管之學校教師進修意願調查、進修需求人數及評估情形等相關資料。</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t>9、地方政府依據地方教育發展需要及主管之學校教師進修需求辦理教師在職進修學分班，應先徵詢鄰近師資培育之大學或師範大學設置之進修學院合作辦理，並洽妥相關招生、遴選及成效追蹤等相關機制。</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t>10、師資培育之大學或師範大學設置之進修學院辦理教師在職進修學分班及研習活動，應於本校師資職前教育課程階段、類科別及現有各系、所學術相關領域內規劃。</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t>11、有關各項學分班修讀學分之採認及抵免相關事宜，由各師資培育之大學或師範大學設置之進修學院依各校學則或相關規定本權責核處。</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t>12、教師在職進修學分班各班次之課程，至少應有二分之一以上由本校專任教師授課為原則。但因專案需求由本部協調開設之班別，不在此限。</w:t>
      </w:r>
    </w:p>
    <w:p w:rsidR="00AB0F7E" w:rsidRPr="00AB0F7E" w:rsidRDefault="00AB0F7E" w:rsidP="00AB0F7E">
      <w:pPr>
        <w:widowControl/>
        <w:spacing w:line="520" w:lineRule="exact"/>
        <w:ind w:leftChars="250" w:left="1512" w:hangingChars="285" w:hanging="912"/>
        <w:rPr>
          <w:rFonts w:ascii="標楷體" w:eastAsia="標楷體" w:hAnsi="標楷體"/>
          <w:bCs/>
          <w:color w:val="000000"/>
          <w:sz w:val="32"/>
          <w:szCs w:val="32"/>
        </w:rPr>
      </w:pPr>
      <w:r w:rsidRPr="00AB0F7E">
        <w:rPr>
          <w:rFonts w:ascii="標楷體" w:eastAsia="標楷體" w:hAnsi="標楷體"/>
          <w:bCs/>
          <w:color w:val="000000"/>
          <w:sz w:val="32"/>
          <w:szCs w:val="32"/>
        </w:rPr>
        <w:lastRenderedPageBreak/>
        <w:t>（三）領域教學學分班：以該師資培育之大學所規劃之專門科目對照表中各領域核心課程及同領域其他主修專長科目應修下限學分為主，並以社會、綜合活動、藝術與人文、自然與生活科技、健康與體育等跨主修專長之學習領域，為優先辦理項目。</w:t>
      </w:r>
    </w:p>
    <w:p w:rsidR="00AB0F7E" w:rsidRPr="00AB0F7E" w:rsidRDefault="00AB0F7E" w:rsidP="00AB0F7E">
      <w:pPr>
        <w:widowControl/>
        <w:spacing w:line="520" w:lineRule="exact"/>
        <w:ind w:leftChars="250" w:left="1512" w:hangingChars="285" w:hanging="912"/>
        <w:rPr>
          <w:rFonts w:ascii="標楷體" w:eastAsia="標楷體" w:hAnsi="標楷體"/>
          <w:bCs/>
          <w:color w:val="000000"/>
          <w:sz w:val="32"/>
          <w:szCs w:val="32"/>
        </w:rPr>
      </w:pPr>
      <w:r w:rsidRPr="00AB0F7E">
        <w:rPr>
          <w:rFonts w:ascii="標楷體" w:eastAsia="標楷體" w:hAnsi="標楷體"/>
          <w:bCs/>
          <w:color w:val="000000"/>
          <w:sz w:val="32"/>
          <w:szCs w:val="32"/>
        </w:rPr>
        <w:t>（四）第二專長學分班及國民小學加註領域專長學分班：</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t>1、應依本部核定該師資培育之大學之專門科目及學分一覽表辦理。</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t>2、為利教學正常化，第二專長學分班以教師專長授課比率偏低之科目為優先。</w:t>
      </w:r>
    </w:p>
    <w:p w:rsidR="00AB0F7E" w:rsidRPr="00AB0F7E" w:rsidRDefault="00AB0F7E" w:rsidP="00AB0F7E">
      <w:pPr>
        <w:widowControl/>
        <w:spacing w:line="520" w:lineRule="exact"/>
        <w:ind w:leftChars="250" w:left="1512" w:hangingChars="285" w:hanging="912"/>
        <w:rPr>
          <w:rFonts w:ascii="標楷體" w:eastAsia="標楷體" w:hAnsi="標楷體"/>
          <w:bCs/>
          <w:color w:val="000000"/>
          <w:sz w:val="32"/>
          <w:szCs w:val="32"/>
        </w:rPr>
      </w:pPr>
      <w:r w:rsidRPr="00AB0F7E">
        <w:rPr>
          <w:rFonts w:ascii="標楷體" w:eastAsia="標楷體" w:hAnsi="標楷體"/>
          <w:bCs/>
          <w:color w:val="000000"/>
          <w:sz w:val="32"/>
          <w:szCs w:val="32"/>
        </w:rPr>
        <w:t>（五）專長增能學分班：</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bCs/>
          <w:color w:val="000000"/>
          <w:sz w:val="32"/>
          <w:szCs w:val="32"/>
        </w:rPr>
        <w:t>1、應就不同教育階段及類科分別規劃。</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bCs/>
          <w:color w:val="000000"/>
          <w:sz w:val="32"/>
          <w:szCs w:val="32"/>
        </w:rPr>
        <w:t>2、課程之研擬應依教師專業標準，就不同教師生涯發展階段縝密規劃。</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bCs/>
          <w:color w:val="000000"/>
          <w:sz w:val="32"/>
          <w:szCs w:val="32"/>
        </w:rPr>
        <w:t>3、課程內容以本部年度調查與規劃之學科、領域或議題等，為優先辦理項目。</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t>4</w:t>
      </w:r>
      <w:r w:rsidRPr="00AB0F7E">
        <w:rPr>
          <w:rFonts w:ascii="新細明體" w:hAnsi="新細明體" w:hint="eastAsia"/>
          <w:bCs/>
          <w:color w:val="000000"/>
          <w:sz w:val="32"/>
          <w:szCs w:val="32"/>
        </w:rPr>
        <w:t>、</w:t>
      </w:r>
      <w:r w:rsidRPr="00AB0F7E">
        <w:rPr>
          <w:rFonts w:ascii="標楷體" w:eastAsia="標楷體" w:hAnsi="標楷體" w:hint="eastAsia"/>
          <w:bCs/>
          <w:color w:val="000000"/>
          <w:sz w:val="32"/>
          <w:szCs w:val="32"/>
        </w:rPr>
        <w:t>可採數位研習課程方式，並依相關規定辦理。</w:t>
      </w:r>
    </w:p>
    <w:p w:rsidR="00AB0F7E" w:rsidRPr="00AB0F7E" w:rsidRDefault="00AB0F7E" w:rsidP="00AB0F7E">
      <w:pPr>
        <w:widowControl/>
        <w:spacing w:line="520" w:lineRule="exact"/>
        <w:ind w:leftChars="250" w:left="1512" w:hangingChars="285" w:hanging="912"/>
        <w:rPr>
          <w:rFonts w:ascii="標楷體" w:eastAsia="標楷體" w:hAnsi="標楷體"/>
          <w:bCs/>
          <w:color w:val="000000"/>
          <w:sz w:val="32"/>
          <w:szCs w:val="32"/>
        </w:rPr>
      </w:pPr>
      <w:r w:rsidRPr="00AB0F7E">
        <w:rPr>
          <w:rFonts w:ascii="標楷體" w:eastAsia="標楷體" w:hAnsi="標楷體"/>
          <w:bCs/>
          <w:color w:val="000000"/>
          <w:sz w:val="32"/>
          <w:szCs w:val="32"/>
        </w:rPr>
        <w:t>（</w:t>
      </w:r>
      <w:r w:rsidRPr="00AB0F7E">
        <w:rPr>
          <w:rFonts w:ascii="標楷體" w:eastAsia="標楷體" w:hAnsi="標楷體" w:hint="eastAsia"/>
          <w:bCs/>
          <w:color w:val="000000"/>
          <w:sz w:val="32"/>
          <w:szCs w:val="32"/>
        </w:rPr>
        <w:t>六</w:t>
      </w:r>
      <w:r w:rsidRPr="00AB0F7E">
        <w:rPr>
          <w:rFonts w:ascii="標楷體" w:eastAsia="標楷體" w:hAnsi="標楷體"/>
          <w:bCs/>
          <w:color w:val="000000"/>
          <w:sz w:val="32"/>
          <w:szCs w:val="32"/>
        </w:rPr>
        <w:t>）</w:t>
      </w:r>
      <w:r w:rsidRPr="00AB0F7E">
        <w:rPr>
          <w:rFonts w:ascii="標楷體" w:eastAsia="標楷體" w:hAnsi="標楷體" w:hint="eastAsia"/>
          <w:bCs/>
          <w:color w:val="000000"/>
          <w:sz w:val="32"/>
          <w:szCs w:val="32"/>
        </w:rPr>
        <w:t>教師</w:t>
      </w:r>
      <w:r w:rsidRPr="00AB0F7E">
        <w:rPr>
          <w:rFonts w:ascii="標楷體" w:eastAsia="標楷體" w:hAnsi="標楷體"/>
          <w:bCs/>
          <w:color w:val="000000"/>
          <w:sz w:val="32"/>
          <w:szCs w:val="32"/>
        </w:rPr>
        <w:t>研習</w:t>
      </w:r>
      <w:r w:rsidRPr="00AB0F7E">
        <w:rPr>
          <w:rFonts w:ascii="標楷體" w:eastAsia="標楷體" w:hAnsi="標楷體" w:hint="eastAsia"/>
          <w:bCs/>
          <w:color w:val="000000"/>
          <w:sz w:val="32"/>
          <w:szCs w:val="32"/>
        </w:rPr>
        <w:t>活動</w:t>
      </w:r>
      <w:r w:rsidRPr="00AB0F7E">
        <w:rPr>
          <w:rFonts w:ascii="標楷體" w:eastAsia="標楷體" w:hAnsi="標楷體"/>
          <w:bCs/>
          <w:color w:val="000000"/>
          <w:sz w:val="32"/>
          <w:szCs w:val="32"/>
        </w:rPr>
        <w:t>：</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t>1、各級主管教育行政機關得依轄區內教師需求開設進修班次。高級中等學校部分，除直轄市得分別由其主管教育行政機關委請師資培育之大學或師範大學設置之進修學院開設班次外，其餘由本部（國民及學前教育署）負責委請師資培育之大學或師範大學設置之進修學院開班；國民中小學及幼兒園部分，由各地方主管教育行政機關自行調配開班。</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t>2、由各地方主管教育行政機關、師資培育之大學或師範大學設置之進修學院，或由各地方主管教育行政機關委請師資培育之大學或師範大學設置之進修學院辦理之高級中等</w:t>
      </w:r>
      <w:r w:rsidRPr="00AB0F7E">
        <w:rPr>
          <w:rFonts w:ascii="標楷體" w:eastAsia="標楷體" w:hAnsi="標楷體" w:hint="eastAsia"/>
          <w:bCs/>
          <w:color w:val="000000"/>
          <w:sz w:val="32"/>
          <w:szCs w:val="32"/>
        </w:rPr>
        <w:lastRenderedPageBreak/>
        <w:t>以下學校及幼兒園教師研習活動類別以活化教師教學能力為主，輔以教師需求開設。</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t>3、參加進修教師經辦理單位考核合格者，由所屬主管教育行政機關依規定核實採計研習時數。</w:t>
      </w:r>
    </w:p>
    <w:p w:rsidR="00AB0F7E" w:rsidRPr="00AB0F7E" w:rsidRDefault="00AB0F7E" w:rsidP="00AB0F7E">
      <w:pPr>
        <w:spacing w:line="520" w:lineRule="exact"/>
        <w:rPr>
          <w:rFonts w:ascii="標楷體" w:eastAsia="標楷體" w:hAnsi="標楷體"/>
          <w:bCs/>
          <w:color w:val="000000"/>
          <w:sz w:val="32"/>
          <w:szCs w:val="32"/>
        </w:rPr>
      </w:pPr>
      <w:r w:rsidRPr="00AB0F7E">
        <w:rPr>
          <w:rFonts w:ascii="標楷體" w:eastAsia="標楷體" w:hAnsi="標楷體"/>
          <w:bCs/>
          <w:color w:val="000000"/>
          <w:sz w:val="32"/>
          <w:szCs w:val="32"/>
        </w:rPr>
        <w:t>八、補助基準：</w:t>
      </w:r>
    </w:p>
    <w:p w:rsidR="00AB0F7E" w:rsidRPr="00AB0F7E" w:rsidRDefault="00AB0F7E" w:rsidP="00AB0F7E">
      <w:pPr>
        <w:widowControl/>
        <w:spacing w:line="520" w:lineRule="exact"/>
        <w:ind w:leftChars="250" w:left="1512" w:hangingChars="285" w:hanging="912"/>
        <w:rPr>
          <w:rFonts w:ascii="標楷體" w:eastAsia="標楷體" w:hAnsi="標楷體"/>
          <w:bCs/>
          <w:color w:val="000000"/>
          <w:sz w:val="32"/>
          <w:szCs w:val="32"/>
        </w:rPr>
      </w:pPr>
      <w:r w:rsidRPr="00AB0F7E">
        <w:rPr>
          <w:rFonts w:ascii="標楷體" w:eastAsia="標楷體" w:hAnsi="標楷體"/>
          <w:bCs/>
          <w:color w:val="000000"/>
          <w:sz w:val="32"/>
          <w:szCs w:val="32"/>
        </w:rPr>
        <w:t>（一）</w:t>
      </w:r>
      <w:r w:rsidRPr="00AB0F7E">
        <w:rPr>
          <w:rFonts w:ascii="標楷體" w:eastAsia="標楷體" w:hAnsi="標楷體" w:hint="eastAsia"/>
          <w:bCs/>
          <w:color w:val="000000"/>
          <w:sz w:val="32"/>
          <w:szCs w:val="32"/>
        </w:rPr>
        <w:t>學分班：</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t>1、經本部協調辦理之重大教育政策或重大議題所開設學分班開班費，以每二學分之班別補助新臺幣十萬元為原則。但一學分及三學分之班別，按二學分新臺幣十萬元之比例補助。</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t>2、非因前目所定目的開設之學分班，得酌予補助，以每一學分新臺幣三萬元為限。</w:t>
      </w:r>
    </w:p>
    <w:p w:rsidR="00AB0F7E" w:rsidRPr="00AB0F7E" w:rsidRDefault="00AB0F7E" w:rsidP="00AB0F7E">
      <w:pPr>
        <w:widowControl/>
        <w:spacing w:line="520" w:lineRule="exact"/>
        <w:ind w:leftChars="250" w:left="1512" w:hangingChars="285" w:hanging="912"/>
        <w:rPr>
          <w:rFonts w:ascii="標楷體" w:eastAsia="標楷體" w:hAnsi="標楷體"/>
          <w:bCs/>
          <w:color w:val="000000"/>
          <w:sz w:val="32"/>
          <w:szCs w:val="32"/>
        </w:rPr>
      </w:pPr>
      <w:r w:rsidRPr="00AB0F7E">
        <w:rPr>
          <w:rFonts w:ascii="標楷體" w:eastAsia="標楷體" w:hAnsi="標楷體"/>
          <w:bCs/>
          <w:color w:val="000000"/>
          <w:sz w:val="32"/>
          <w:szCs w:val="32"/>
        </w:rPr>
        <w:t>（二）</w:t>
      </w:r>
      <w:r w:rsidRPr="00AB0F7E">
        <w:rPr>
          <w:rFonts w:ascii="標楷體" w:eastAsia="標楷體" w:hAnsi="標楷體" w:hint="eastAsia"/>
          <w:bCs/>
          <w:color w:val="000000"/>
          <w:sz w:val="32"/>
          <w:szCs w:val="32"/>
        </w:rPr>
        <w:t>經本部協調配合重大教育政策或重大議題所辦理之教師研習活動，每班酌予補助鐘點費、教材費及雜支等。於離島辦理者，得額外補助授課講師交通費、住宿費。</w:t>
      </w:r>
    </w:p>
    <w:p w:rsidR="00AB0F7E" w:rsidRPr="00AB0F7E" w:rsidRDefault="00AB0F7E" w:rsidP="00AB0F7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295" w:left="1697" w:hangingChars="309" w:hanging="989"/>
        <w:jc w:val="both"/>
        <w:rPr>
          <w:rFonts w:ascii="標楷體" w:eastAsia="標楷體" w:hAnsi="標楷體"/>
          <w:bCs/>
          <w:color w:val="000000"/>
          <w:sz w:val="32"/>
          <w:szCs w:val="32"/>
        </w:rPr>
      </w:pPr>
      <w:r w:rsidRPr="00AB0F7E">
        <w:rPr>
          <w:rFonts w:ascii="標楷體" w:eastAsia="標楷體" w:hAnsi="標楷體" w:hint="eastAsia"/>
          <w:bCs/>
          <w:color w:val="000000"/>
          <w:sz w:val="32"/>
          <w:szCs w:val="32"/>
        </w:rPr>
        <w:t>（三）前二款學分班、教師研習活動之交通費、住宿費不予補助。但有特殊情況（例如偏遠、離島地區），經本部於核定開班時敘明同意補助，並確有需求者，得於申請時敘明原因，依下列基準及實際出席狀況報本部核定補助：</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t>1、委請其他轄區之師資培育之大學或師範大學設置之進修學院，聘請授課教師至本轄區開課，除開班費外，並依國內出差旅費報支要點之規定核實報支，補助授課教師交通費、住宿費。</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t>2、離島地區進修教師需至臺灣本島上課者，除開班費外，依實際需要及國內出差旅費報支要點之規定核實報支，補助交通費、住宿費。</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t>3、偏遠地區教師進修（花蓮及臺東地區）依實際需要及國內出差旅費報支要點之規定核實報支，補助交通費、住宿費。</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AB0F7E">
        <w:rPr>
          <w:rFonts w:ascii="標楷體" w:eastAsia="標楷體" w:hAnsi="標楷體" w:hint="eastAsia"/>
          <w:bCs/>
          <w:color w:val="000000"/>
          <w:sz w:val="32"/>
          <w:szCs w:val="32"/>
        </w:rPr>
        <w:lastRenderedPageBreak/>
        <w:t>4、於離島地區開課之師資培育之大學或師範大學設置之進修學院之行政人員，如因業務需要，需至離島地區處理開班相關行政業務，依實際需要及國內出差旅費報支要點之規定核實報支，補助交通費、住宿費。</w:t>
      </w:r>
    </w:p>
    <w:p w:rsidR="00AB0F7E" w:rsidRPr="00AB0F7E" w:rsidRDefault="00AB0F7E" w:rsidP="00AB0F7E">
      <w:pPr>
        <w:widowControl/>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294" w:left="1557" w:hangingChars="266" w:hanging="851"/>
        <w:jc w:val="both"/>
        <w:rPr>
          <w:rFonts w:ascii="標楷體" w:eastAsia="標楷體" w:hAnsi="標楷體"/>
          <w:bCs/>
          <w:color w:val="000000"/>
          <w:sz w:val="32"/>
          <w:szCs w:val="32"/>
        </w:rPr>
      </w:pPr>
      <w:r w:rsidRPr="00AB0F7E">
        <w:rPr>
          <w:rFonts w:ascii="標楷體" w:eastAsia="標楷體" w:hAnsi="標楷體" w:hint="eastAsia"/>
          <w:bCs/>
          <w:color w:val="000000"/>
          <w:sz w:val="32"/>
          <w:szCs w:val="32"/>
        </w:rPr>
        <w:t>（四）非於本機關或轄區內機關場地辦理之班次，酌予補助場地  費。</w:t>
      </w:r>
    </w:p>
    <w:p w:rsidR="00AB0F7E" w:rsidRPr="00AB0F7E" w:rsidRDefault="00AB0F7E" w:rsidP="00AB0F7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295" w:left="1697" w:hangingChars="309" w:hanging="989"/>
        <w:rPr>
          <w:rFonts w:ascii="標楷體" w:eastAsia="標楷體" w:hAnsi="標楷體"/>
          <w:bCs/>
          <w:color w:val="000000"/>
          <w:sz w:val="32"/>
          <w:szCs w:val="32"/>
        </w:rPr>
      </w:pPr>
      <w:r w:rsidRPr="00AB0F7E">
        <w:rPr>
          <w:rFonts w:ascii="標楷體" w:eastAsia="標楷體" w:hAnsi="標楷體" w:hint="eastAsia"/>
          <w:bCs/>
          <w:color w:val="000000"/>
          <w:sz w:val="32"/>
          <w:szCs w:val="32"/>
        </w:rPr>
        <w:t>（五）本要點未規定之補助項目，依本部補助及委辦計畫經費編列基準表、國內出差旅費報支要點及會計相關規定辦理。</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295" w:left="1697" w:hangingChars="309" w:hanging="989"/>
        <w:rPr>
          <w:rFonts w:ascii="標楷體" w:eastAsia="標楷體" w:hAnsi="標楷體"/>
          <w:bCs/>
          <w:color w:val="000000"/>
          <w:sz w:val="32"/>
          <w:szCs w:val="32"/>
        </w:rPr>
      </w:pPr>
      <w:r w:rsidRPr="00AB0F7E">
        <w:rPr>
          <w:rFonts w:ascii="標楷體" w:eastAsia="標楷體" w:hAnsi="標楷體" w:hint="eastAsia"/>
          <w:bCs/>
          <w:color w:val="000000"/>
          <w:sz w:val="32"/>
          <w:szCs w:val="32"/>
        </w:rPr>
        <w:t>（六）國民小學加註領域專長學分班招收下列二類教師，原則不予補助。但開設於偏遠、離島地區或有實際需求之班別，本部得專案酌予補助：</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591" w:left="1917" w:hangingChars="156" w:hanging="499"/>
        <w:rPr>
          <w:rFonts w:ascii="標楷體" w:eastAsia="標楷體" w:hAnsi="標楷體"/>
          <w:bCs/>
          <w:color w:val="000000"/>
          <w:sz w:val="32"/>
          <w:szCs w:val="32"/>
        </w:rPr>
      </w:pPr>
      <w:r w:rsidRPr="00AB0F7E">
        <w:rPr>
          <w:rFonts w:ascii="標楷體" w:eastAsia="標楷體" w:hAnsi="標楷體" w:hint="eastAsia"/>
          <w:bCs/>
          <w:color w:val="000000"/>
          <w:sz w:val="32"/>
          <w:szCs w:val="32"/>
        </w:rPr>
        <w:t xml:space="preserve"> 1、具合格教師證書非在職之儲備教師。</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531" w:left="1917" w:hangingChars="201" w:hanging="643"/>
        <w:jc w:val="both"/>
        <w:rPr>
          <w:rFonts w:ascii="標楷體" w:eastAsia="標楷體" w:hAnsi="標楷體"/>
          <w:bCs/>
          <w:color w:val="000000"/>
          <w:sz w:val="32"/>
          <w:szCs w:val="32"/>
        </w:rPr>
      </w:pPr>
      <w:r w:rsidRPr="00AB0F7E">
        <w:rPr>
          <w:rFonts w:ascii="標楷體" w:eastAsia="標楷體" w:hAnsi="標楷體" w:hint="eastAsia"/>
          <w:bCs/>
          <w:color w:val="000000"/>
          <w:sz w:val="32"/>
          <w:szCs w:val="32"/>
        </w:rPr>
        <w:t xml:space="preserve">  2、具合格教師證書，且聘期未滿三個月之在職代理、代課或兼任教師。</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1558" w:hangingChars="487" w:hanging="1558"/>
        <w:rPr>
          <w:rFonts w:ascii="標楷體" w:eastAsia="標楷體" w:hAnsi="標楷體"/>
          <w:bCs/>
          <w:color w:val="000000"/>
          <w:sz w:val="32"/>
          <w:szCs w:val="32"/>
        </w:rPr>
      </w:pPr>
      <w:r w:rsidRPr="00AB0F7E">
        <w:rPr>
          <w:rFonts w:ascii="標楷體" w:eastAsia="標楷體" w:hAnsi="標楷體" w:hint="eastAsia"/>
          <w:bCs/>
          <w:color w:val="000000"/>
          <w:sz w:val="32"/>
          <w:szCs w:val="32"/>
        </w:rPr>
        <w:t xml:space="preserve">    （七）地方政府、所屬師資培育之大學及所主管高級中等以下學校：依中央對直轄市及縣（市）政府補助辦法及本部對直轄市及縣（市）政府計畫型補助款處理原則之規定辦理，並依下列財力級次給予不同補助比率：</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443" w:firstLine="1418"/>
        <w:rPr>
          <w:rFonts w:ascii="標楷體" w:eastAsia="標楷體" w:hAnsi="標楷體"/>
          <w:bCs/>
          <w:color w:val="000000"/>
          <w:sz w:val="32"/>
          <w:szCs w:val="32"/>
        </w:rPr>
      </w:pPr>
      <w:r w:rsidRPr="00AB0F7E">
        <w:rPr>
          <w:rFonts w:ascii="標楷體" w:eastAsia="標楷體" w:hAnsi="標楷體"/>
          <w:bCs/>
          <w:color w:val="000000"/>
          <w:sz w:val="32"/>
          <w:szCs w:val="32"/>
        </w:rPr>
        <w:t xml:space="preserve"> 1</w:t>
      </w:r>
      <w:r w:rsidRPr="00AB0F7E">
        <w:rPr>
          <w:rFonts w:ascii="標楷體" w:eastAsia="標楷體" w:hAnsi="標楷體" w:hint="eastAsia"/>
          <w:bCs/>
          <w:color w:val="000000"/>
          <w:sz w:val="32"/>
          <w:szCs w:val="32"/>
        </w:rPr>
        <w:t>、財力級次第一級者，補助比率不得超過百分之七十。</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398" w:firstLine="1274"/>
        <w:rPr>
          <w:rFonts w:ascii="標楷體" w:eastAsia="標楷體" w:hAnsi="標楷體"/>
          <w:bCs/>
          <w:color w:val="000000"/>
          <w:sz w:val="32"/>
          <w:szCs w:val="32"/>
        </w:rPr>
      </w:pPr>
      <w:r w:rsidRPr="00AB0F7E">
        <w:rPr>
          <w:rFonts w:ascii="標楷體" w:eastAsia="標楷體" w:hAnsi="標楷體"/>
          <w:bCs/>
          <w:color w:val="000000"/>
          <w:sz w:val="32"/>
          <w:szCs w:val="32"/>
        </w:rPr>
        <w:t xml:space="preserve"> </w:t>
      </w:r>
      <w:r w:rsidRPr="00AB0F7E">
        <w:rPr>
          <w:rFonts w:ascii="標楷體" w:eastAsia="標楷體" w:hAnsi="標楷體" w:hint="eastAsia"/>
          <w:bCs/>
          <w:color w:val="000000"/>
          <w:sz w:val="32"/>
          <w:szCs w:val="32"/>
        </w:rPr>
        <w:t xml:space="preserve"> </w:t>
      </w:r>
      <w:r w:rsidRPr="00AB0F7E">
        <w:rPr>
          <w:rFonts w:ascii="標楷體" w:eastAsia="標楷體" w:hAnsi="標楷體"/>
          <w:bCs/>
          <w:color w:val="000000"/>
          <w:sz w:val="32"/>
          <w:szCs w:val="32"/>
        </w:rPr>
        <w:t>2</w:t>
      </w:r>
      <w:r w:rsidRPr="00AB0F7E">
        <w:rPr>
          <w:rFonts w:ascii="標楷體" w:eastAsia="標楷體" w:hAnsi="標楷體" w:hint="eastAsia"/>
          <w:bCs/>
          <w:color w:val="000000"/>
          <w:sz w:val="32"/>
          <w:szCs w:val="32"/>
        </w:rPr>
        <w:t>、財力級次第二級者，補助比率不得超過百分之八十。</w:t>
      </w:r>
    </w:p>
    <w:p w:rsidR="00AB0F7E" w:rsidRPr="00AB0F7E" w:rsidRDefault="00AB0F7E" w:rsidP="00AB0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591" w:left="1840" w:hangingChars="132" w:hanging="422"/>
        <w:rPr>
          <w:rFonts w:ascii="標楷體" w:eastAsia="標楷體" w:hAnsi="標楷體"/>
          <w:bCs/>
          <w:color w:val="000000"/>
          <w:sz w:val="32"/>
          <w:szCs w:val="32"/>
        </w:rPr>
      </w:pPr>
      <w:r w:rsidRPr="00AB0F7E">
        <w:rPr>
          <w:rFonts w:ascii="標楷體" w:eastAsia="標楷體" w:hAnsi="標楷體"/>
          <w:bCs/>
          <w:color w:val="000000"/>
          <w:sz w:val="32"/>
          <w:szCs w:val="32"/>
        </w:rPr>
        <w:t xml:space="preserve"> 3</w:t>
      </w:r>
      <w:r w:rsidRPr="00AB0F7E">
        <w:rPr>
          <w:rFonts w:ascii="標楷體" w:eastAsia="標楷體" w:hAnsi="標楷體" w:hint="eastAsia"/>
          <w:bCs/>
          <w:color w:val="000000"/>
          <w:sz w:val="32"/>
          <w:szCs w:val="32"/>
        </w:rPr>
        <w:t>、財力級次第三級至第五級者，補助比率不得超過百分之九十。</w:t>
      </w:r>
    </w:p>
    <w:p w:rsidR="00D36B9E" w:rsidRPr="00AB0F7E" w:rsidRDefault="00D36B9E" w:rsidP="00AB0F7E">
      <w:pPr>
        <w:widowControl/>
        <w:spacing w:line="520" w:lineRule="exact"/>
        <w:ind w:left="721" w:hangingChars="200" w:hanging="721"/>
        <w:rPr>
          <w:rFonts w:ascii="標楷體" w:eastAsia="標楷體" w:hAnsi="標楷體"/>
          <w:b/>
          <w:color w:val="000000"/>
          <w:w w:val="90"/>
          <w:sz w:val="40"/>
        </w:rPr>
      </w:pPr>
    </w:p>
    <w:sectPr w:rsidR="00D36B9E" w:rsidRPr="00AB0F7E" w:rsidSect="00AB0F7E">
      <w:pgSz w:w="11906" w:h="16838" w:code="9"/>
      <w:pgMar w:top="768" w:right="1021" w:bottom="102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A39" w:rsidRDefault="00A24A39" w:rsidP="000420EB">
      <w:r>
        <w:separator/>
      </w:r>
    </w:p>
  </w:endnote>
  <w:endnote w:type="continuationSeparator" w:id="0">
    <w:p w:rsidR="00A24A39" w:rsidRDefault="00A24A39" w:rsidP="00042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A39" w:rsidRDefault="00A24A39" w:rsidP="000420EB">
      <w:r>
        <w:separator/>
      </w:r>
    </w:p>
  </w:footnote>
  <w:footnote w:type="continuationSeparator" w:id="0">
    <w:p w:rsidR="00A24A39" w:rsidRDefault="00A24A39" w:rsidP="000420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20EB"/>
    <w:rsid w:val="000420EB"/>
    <w:rsid w:val="00097A43"/>
    <w:rsid w:val="004B65F2"/>
    <w:rsid w:val="00565E62"/>
    <w:rsid w:val="006577B1"/>
    <w:rsid w:val="007C123F"/>
    <w:rsid w:val="007E3B06"/>
    <w:rsid w:val="00A24A39"/>
    <w:rsid w:val="00AB0F7E"/>
    <w:rsid w:val="00CA5403"/>
    <w:rsid w:val="00D340A1"/>
    <w:rsid w:val="00D36B9E"/>
    <w:rsid w:val="00F477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0EB"/>
    <w:pPr>
      <w:tabs>
        <w:tab w:val="center" w:pos="4153"/>
        <w:tab w:val="right" w:pos="8306"/>
      </w:tabs>
      <w:snapToGrid w:val="0"/>
    </w:pPr>
    <w:rPr>
      <w:sz w:val="20"/>
      <w:szCs w:val="20"/>
    </w:rPr>
  </w:style>
  <w:style w:type="character" w:customStyle="1" w:styleId="a4">
    <w:name w:val="頁首 字元"/>
    <w:link w:val="a3"/>
    <w:uiPriority w:val="99"/>
    <w:rsid w:val="000420EB"/>
    <w:rPr>
      <w:kern w:val="2"/>
    </w:rPr>
  </w:style>
  <w:style w:type="paragraph" w:styleId="a5">
    <w:name w:val="footer"/>
    <w:basedOn w:val="a"/>
    <w:link w:val="a6"/>
    <w:uiPriority w:val="99"/>
    <w:unhideWhenUsed/>
    <w:rsid w:val="000420EB"/>
    <w:pPr>
      <w:tabs>
        <w:tab w:val="center" w:pos="4153"/>
        <w:tab w:val="right" w:pos="8306"/>
      </w:tabs>
      <w:snapToGrid w:val="0"/>
    </w:pPr>
    <w:rPr>
      <w:sz w:val="20"/>
      <w:szCs w:val="20"/>
    </w:rPr>
  </w:style>
  <w:style w:type="character" w:customStyle="1" w:styleId="a6">
    <w:name w:val="頁尾 字元"/>
    <w:link w:val="a5"/>
    <w:uiPriority w:val="99"/>
    <w:rsid w:val="000420EB"/>
    <w:rPr>
      <w:kern w:val="2"/>
    </w:rPr>
  </w:style>
  <w:style w:type="table" w:styleId="a7">
    <w:name w:val="Table Grid"/>
    <w:basedOn w:val="a1"/>
    <w:rsid w:val="00D36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rsid w:val="00D36B9E"/>
  </w:style>
  <w:style w:type="table" w:customStyle="1" w:styleId="1">
    <w:name w:val="表格格線1"/>
    <w:basedOn w:val="a1"/>
    <w:next w:val="a7"/>
    <w:rsid w:val="00AB0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510</Words>
  <Characters>2908</Characters>
  <Application>Microsoft Office Word</Application>
  <DocSecurity>4</DocSecurity>
  <Lines>24</Lines>
  <Paragraphs>6</Paragraphs>
  <ScaleCrop>false</ScaleCrop>
  <Company>教育部</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送刊公報函稿</dc:title>
  <dc:creator>moejsmpc</dc:creator>
  <cp:lastModifiedBy>ASUS</cp:lastModifiedBy>
  <cp:revision>2</cp:revision>
  <dcterms:created xsi:type="dcterms:W3CDTF">2015-03-20T01:50:00Z</dcterms:created>
  <dcterms:modified xsi:type="dcterms:W3CDTF">2015-03-20T01:50:00Z</dcterms:modified>
</cp:coreProperties>
</file>