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07DB" w14:textId="77777777" w:rsidR="009B6899" w:rsidRDefault="006E24AD">
      <w:pPr>
        <w:jc w:val="center"/>
      </w:pPr>
      <w:r>
        <w:rPr>
          <w:rFonts w:ascii="標楷體" w:eastAsia="標楷體" w:hAnsi="標楷體"/>
          <w:noProof/>
          <w:sz w:val="38"/>
          <w:szCs w:val="38"/>
        </w:rPr>
        <mc:AlternateContent>
          <mc:Choice Requires="wps">
            <w:drawing>
              <wp:anchor distT="0" distB="0" distL="114300" distR="114300" simplePos="0" relativeHeight="251657728" behindDoc="0" locked="0" layoutInCell="1" allowOverlap="1" wp14:anchorId="48EC22BD" wp14:editId="25FD9590">
                <wp:simplePos x="0" y="0"/>
                <wp:positionH relativeFrom="column">
                  <wp:posOffset>5010153</wp:posOffset>
                </wp:positionH>
                <wp:positionV relativeFrom="paragraph">
                  <wp:posOffset>-774067</wp:posOffset>
                </wp:positionV>
                <wp:extent cx="12573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571500"/>
                        </a:xfrm>
                        <a:prstGeom prst="rect">
                          <a:avLst/>
                        </a:prstGeom>
                        <a:solidFill>
                          <a:srgbClr val="FFFFFF"/>
                        </a:solidFill>
                        <a:ln>
                          <a:noFill/>
                          <a:prstDash/>
                        </a:ln>
                      </wps:spPr>
                      <wps:txbx>
                        <w:txbxContent>
                          <w:p w14:paraId="3656C30A" w14:textId="77777777" w:rsidR="009B6899" w:rsidRDefault="009B6899">
                            <w:pPr>
                              <w:rPr>
                                <w:rFonts w:ascii="標楷體" w:eastAsia="標楷體" w:hAnsi="標楷體"/>
                                <w:sz w:val="32"/>
                                <w:szCs w:val="32"/>
                              </w:rPr>
                            </w:pPr>
                          </w:p>
                        </w:txbxContent>
                      </wps:txbx>
                      <wps:bodyPr vert="horz" wrap="square" lIns="91440" tIns="45720" rIns="91440" bIns="45720" anchor="t" anchorCtr="0" compatLnSpc="0">
                        <a:noAutofit/>
                      </wps:bodyPr>
                    </wps:wsp>
                  </a:graphicData>
                </a:graphic>
              </wp:anchor>
            </w:drawing>
          </mc:Choice>
          <mc:Fallback>
            <w:pict>
              <v:shapetype w14:anchorId="48EC22BD" id="_x0000_t202" coordsize="21600,21600" o:spt="202" path="m,l,21600r21600,l21600,xe">
                <v:stroke joinstyle="miter"/>
                <v:path gradientshapeok="t" o:connecttype="rect"/>
              </v:shapetype>
              <v:shape id="Text Box 3" o:spid="_x0000_s1026" type="#_x0000_t202" style="position:absolute;left:0;text-align:left;margin-left:394.5pt;margin-top:-60.95pt;width:99pt;height: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" stroked="f">
                <v:textbox>
                  <w:txbxContent>
                    <w:p w14:paraId="3656C30A" w14:textId="77777777" w:rsidR="009B6899" w:rsidRDefault="009B6899">
                      <w:pPr>
                        <w:rPr>
                          <w:rFonts w:ascii="標楷體" w:eastAsia="標楷體" w:hAnsi="標楷體"/>
                          <w:sz w:val="32"/>
                          <w:szCs w:val="32"/>
                        </w:rPr>
                      </w:pPr>
                    </w:p>
                  </w:txbxContent>
                </v:textbox>
              </v:shape>
            </w:pict>
          </mc:Fallback>
        </mc:AlternateContent>
      </w:r>
      <w:r>
        <w:rPr>
          <w:rFonts w:ascii="標楷體" w:eastAsia="標楷體" w:hAnsi="標楷體"/>
          <w:sz w:val="38"/>
          <w:szCs w:val="38"/>
        </w:rPr>
        <w:t>公務人員考績法施行細則第十四條修正總說明</w:t>
      </w:r>
    </w:p>
    <w:p w14:paraId="0BDE41F1" w14:textId="77777777" w:rsidR="009B6899" w:rsidRDefault="006E24AD">
      <w:pPr>
        <w:spacing w:line="460" w:lineRule="exact"/>
        <w:jc w:val="both"/>
        <w:sectPr w:rsidR="009B6899">
          <w:footerReference w:type="default" r:id="rId7"/>
          <w:pgSz w:w="11906" w:h="16838"/>
          <w:pgMar w:top="1418" w:right="1418" w:bottom="1418" w:left="1701" w:header="851" w:footer="992" w:gutter="0"/>
          <w:cols w:space="720"/>
          <w:docGrid w:type="lines" w:linePitch="394"/>
        </w:sectPr>
      </w:pPr>
      <w:r>
        <w:rPr>
          <w:rFonts w:ascii="標楷體" w:eastAsia="標楷體" w:hAnsi="標楷體"/>
          <w:sz w:val="28"/>
          <w:szCs w:val="28"/>
        </w:rPr>
        <w:t xml:space="preserve">    </w:t>
      </w:r>
      <w:r>
        <w:rPr>
          <w:rFonts w:ascii="標楷體" w:eastAsia="標楷體" w:hAnsi="標楷體" w:cs="標楷體"/>
          <w:sz w:val="28"/>
          <w:szCs w:val="28"/>
        </w:rPr>
        <w:t>公務人員考績法施行細則（以下簡稱本細則）自七十六年一月十四日訂定施行後，曾歷經十一次修正，最近</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次於一百零四年十二月三十日修正施行。</w:t>
      </w:r>
      <w:r>
        <w:rPr>
          <w:rFonts w:ascii="標楷體" w:eastAsia="標楷體" w:hAnsi="標楷體" w:cs="標楷體"/>
          <w:bCs/>
          <w:sz w:val="28"/>
          <w:szCs w:val="28"/>
        </w:rPr>
        <w:t>鑒於近來各機關辦理公務人員一次記二大功專案考績案件已漸趨合理，屢有建議刪除銓敘部銓敘審定公務人員一次記二大功專案考績案件，應進行實質審查之相關規定，基於尊重各主管機關對於所屬公務人員之獎懲權責，並課以主管機關主動審核之責</w:t>
      </w:r>
      <w:r>
        <w:rPr>
          <w:rFonts w:ascii="標楷體" w:eastAsia="標楷體" w:hAnsi="標楷體" w:cs="標楷體"/>
          <w:sz w:val="28"/>
          <w:szCs w:val="28"/>
        </w:rPr>
        <w:t>，</w:t>
      </w:r>
      <w:proofErr w:type="gramStart"/>
      <w:r>
        <w:rPr>
          <w:rFonts w:ascii="標楷體" w:eastAsia="標楷體" w:hAnsi="標楷體" w:cs="標楷體"/>
          <w:sz w:val="28"/>
          <w:szCs w:val="28"/>
        </w:rPr>
        <w:t>爰</w:t>
      </w:r>
      <w:proofErr w:type="gramEnd"/>
      <w:r>
        <w:rPr>
          <w:rFonts w:ascii="標楷體" w:eastAsia="標楷體" w:hAnsi="標楷體" w:cs="標楷體"/>
          <w:sz w:val="28"/>
          <w:szCs w:val="28"/>
        </w:rPr>
        <w:t>擬具本細則第十四條修正草案，修正</w:t>
      </w:r>
      <w:r>
        <w:rPr>
          <w:rFonts w:ascii="標楷體" w:eastAsia="標楷體" w:hAnsi="標楷體" w:cs="標楷體"/>
          <w:bCs/>
          <w:sz w:val="28"/>
          <w:szCs w:val="28"/>
        </w:rPr>
        <w:t>上開相關規範</w:t>
      </w:r>
      <w:r>
        <w:rPr>
          <w:rFonts w:ascii="標楷體" w:eastAsia="標楷體" w:hAnsi="標楷體" w:cs="標楷體"/>
          <w:sz w:val="28"/>
          <w:szCs w:val="28"/>
        </w:rPr>
        <w:t>。</w:t>
      </w:r>
    </w:p>
    <w:tbl>
      <w:tblPr>
        <w:tblW w:w="9186" w:type="dxa"/>
        <w:jc w:val="center"/>
        <w:tblLayout w:type="fixed"/>
        <w:tblCellMar>
          <w:left w:w="10" w:type="dxa"/>
          <w:right w:w="10" w:type="dxa"/>
        </w:tblCellMar>
        <w:tblLook w:val="0000" w:firstRow="0" w:lastRow="0" w:firstColumn="0" w:lastColumn="0" w:noHBand="0" w:noVBand="0"/>
      </w:tblPr>
      <w:tblGrid>
        <w:gridCol w:w="3062"/>
        <w:gridCol w:w="3092"/>
        <w:gridCol w:w="3032"/>
      </w:tblGrid>
      <w:tr w:rsidR="009B6899" w14:paraId="1FEF23FF" w14:textId="77777777">
        <w:tblPrEx>
          <w:tblCellMar>
            <w:top w:w="0" w:type="dxa"/>
            <w:bottom w:w="0" w:type="dxa"/>
          </w:tblCellMar>
        </w:tblPrEx>
        <w:trPr>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9464E2" w14:textId="77777777" w:rsidR="009B6899" w:rsidRDefault="006E24AD">
            <w:pPr>
              <w:jc w:val="center"/>
            </w:pPr>
            <w:r>
              <w:rPr>
                <w:rFonts w:ascii="標楷體" w:eastAsia="標楷體" w:hAnsi="標楷體"/>
                <w:kern w:val="0"/>
                <w:sz w:val="38"/>
                <w:szCs w:val="38"/>
              </w:rPr>
              <w:lastRenderedPageBreak/>
              <w:t>公務人員考績法施行細則第十四條修正條文對照表</w:t>
            </w:r>
          </w:p>
        </w:tc>
      </w:tr>
      <w:tr w:rsidR="009B6899" w14:paraId="3E9912E6" w14:textId="77777777">
        <w:tblPrEx>
          <w:tblCellMar>
            <w:top w:w="0" w:type="dxa"/>
            <w:bottom w:w="0" w:type="dxa"/>
          </w:tblCellMar>
        </w:tblPrEx>
        <w:trPr>
          <w:jc w:val="center"/>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444A4B6" w14:textId="77777777" w:rsidR="009B6899" w:rsidRDefault="006E24AD">
            <w:pPr>
              <w:rPr>
                <w:rFonts w:ascii="標楷體" w:eastAsia="標楷體" w:hAnsi="標楷體" w:cs="標楷體"/>
              </w:rPr>
            </w:pPr>
            <w:r>
              <w:rPr>
                <w:rFonts w:ascii="標楷體" w:eastAsia="標楷體" w:hAnsi="標楷體" w:cs="標楷體"/>
              </w:rPr>
              <w:t>修正條文</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86FA100" w14:textId="77777777" w:rsidR="009B6899" w:rsidRDefault="006E24AD">
            <w:pPr>
              <w:ind w:left="240" w:hanging="240"/>
              <w:rPr>
                <w:rFonts w:ascii="標楷體" w:eastAsia="標楷體" w:hAnsi="標楷體" w:cs="標楷體"/>
              </w:rPr>
            </w:pPr>
            <w:r>
              <w:rPr>
                <w:rFonts w:ascii="標楷體" w:eastAsia="標楷體" w:hAnsi="標楷體" w:cs="標楷體"/>
              </w:rPr>
              <w:t>現行條文</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D805064" w14:textId="77777777" w:rsidR="009B6899" w:rsidRDefault="006E24AD">
            <w:r>
              <w:rPr>
                <w:rFonts w:ascii="標楷體" w:eastAsia="標楷體" w:hAnsi="標楷體" w:cs="標楷體"/>
              </w:rPr>
              <w:t>說明</w:t>
            </w:r>
          </w:p>
        </w:tc>
      </w:tr>
      <w:tr w:rsidR="009B6899" w14:paraId="123049E2" w14:textId="77777777">
        <w:tblPrEx>
          <w:tblCellMar>
            <w:top w:w="0" w:type="dxa"/>
            <w:bottom w:w="0" w:type="dxa"/>
          </w:tblCellMar>
        </w:tblPrEx>
        <w:trPr>
          <w:jc w:val="center"/>
        </w:trPr>
        <w:tc>
          <w:tcPr>
            <w:tcW w:w="306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176E417" w14:textId="77777777" w:rsidR="009B6899" w:rsidRDefault="006E24AD">
            <w:pPr>
              <w:snapToGrid w:val="0"/>
              <w:ind w:left="240" w:hanging="240"/>
              <w:jc w:val="both"/>
            </w:pPr>
            <w:r>
              <w:rPr>
                <w:rFonts w:ascii="標楷體" w:eastAsia="標楷體" w:hAnsi="標楷體" w:cs="標楷體"/>
              </w:rPr>
              <w:t>第十四條　本法第十二條第一項第二款所</w:t>
            </w:r>
            <w:r>
              <w:rPr>
                <w:rFonts w:ascii="標楷體" w:eastAsia="標楷體" w:hAnsi="標楷體"/>
              </w:rPr>
              <w:t>稱</w:t>
            </w:r>
            <w:r>
              <w:rPr>
                <w:rFonts w:ascii="標楷體" w:eastAsia="標楷體" w:hAnsi="標楷體" w:cs="標楷體"/>
              </w:rPr>
              <w:t>專案考績一次記二大功，</w:t>
            </w:r>
            <w:r>
              <w:rPr>
                <w:rFonts w:ascii="標楷體" w:eastAsia="標楷體" w:hAnsi="標楷體"/>
              </w:rPr>
              <w:t>以有下列情形之</w:t>
            </w:r>
            <w:proofErr w:type="gramStart"/>
            <w:r>
              <w:rPr>
                <w:rFonts w:ascii="標楷體" w:eastAsia="標楷體" w:hAnsi="標楷體"/>
              </w:rPr>
              <w:t>一</w:t>
            </w:r>
            <w:proofErr w:type="gramEnd"/>
            <w:r>
              <w:rPr>
                <w:rFonts w:ascii="標楷體" w:eastAsia="標楷體" w:hAnsi="標楷體"/>
              </w:rPr>
              <w:t>且為主要貢獻者為限：</w:t>
            </w:r>
          </w:p>
          <w:p w14:paraId="1918F45D" w14:textId="77777777" w:rsidR="009B6899" w:rsidRDefault="006E24AD">
            <w:pPr>
              <w:numPr>
                <w:ilvl w:val="0"/>
                <w:numId w:val="1"/>
              </w:numPr>
              <w:snapToGrid w:val="0"/>
              <w:ind w:left="720" w:hanging="480"/>
              <w:jc w:val="both"/>
            </w:pPr>
            <w:r>
              <w:rPr>
                <w:rFonts w:ascii="標楷體" w:eastAsia="標楷體" w:hAnsi="標楷體" w:cs="標楷體"/>
              </w:rPr>
              <w:t>針對時弊，</w:t>
            </w:r>
            <w:proofErr w:type="gramStart"/>
            <w:r>
              <w:rPr>
                <w:rFonts w:ascii="標楷體" w:eastAsia="標楷體" w:hAnsi="標楷體" w:cs="標楷體"/>
              </w:rPr>
              <w:t>研</w:t>
            </w:r>
            <w:proofErr w:type="gramEnd"/>
            <w:r>
              <w:rPr>
                <w:rFonts w:ascii="標楷體" w:eastAsia="標楷體" w:hAnsi="標楷體" w:cs="標楷體"/>
              </w:rPr>
              <w:t>擬改進措施，經主管機關</w:t>
            </w:r>
            <w:proofErr w:type="gramStart"/>
            <w:r>
              <w:rPr>
                <w:rFonts w:ascii="標楷體" w:eastAsia="標楷體" w:hAnsi="標楷體" w:cs="標楷體"/>
              </w:rPr>
              <w:t>採行確</w:t>
            </w:r>
            <w:proofErr w:type="gramEnd"/>
            <w:r>
              <w:rPr>
                <w:rFonts w:ascii="標楷體" w:eastAsia="標楷體" w:hAnsi="標楷體" w:cs="標楷體"/>
              </w:rPr>
              <w:t>有重大成效。</w:t>
            </w:r>
          </w:p>
          <w:p w14:paraId="6D635B7D" w14:textId="77777777" w:rsidR="009B6899" w:rsidRDefault="006E24AD">
            <w:pPr>
              <w:numPr>
                <w:ilvl w:val="0"/>
                <w:numId w:val="1"/>
              </w:numPr>
              <w:snapToGrid w:val="0"/>
              <w:jc w:val="both"/>
            </w:pPr>
            <w:r>
              <w:rPr>
                <w:rFonts w:ascii="標楷體" w:eastAsia="標楷體" w:hAnsi="標楷體" w:cs="標楷體"/>
              </w:rPr>
              <w:t>對主辦業務，建立完善制度或提出重大革新具體方案，經主管機關</w:t>
            </w:r>
            <w:proofErr w:type="gramStart"/>
            <w:r>
              <w:rPr>
                <w:rFonts w:ascii="標楷體" w:eastAsia="標楷體" w:hAnsi="標楷體" w:cs="標楷體"/>
              </w:rPr>
              <w:t>採行確</w:t>
            </w:r>
            <w:proofErr w:type="gramEnd"/>
            <w:r>
              <w:rPr>
                <w:rFonts w:ascii="標楷體" w:eastAsia="標楷體" w:hAnsi="標楷體" w:cs="標楷體"/>
              </w:rPr>
              <w:t>有顯著成效。</w:t>
            </w:r>
          </w:p>
          <w:p w14:paraId="17B9C419" w14:textId="77777777" w:rsidR="009B6899" w:rsidRDefault="006E24AD">
            <w:pPr>
              <w:numPr>
                <w:ilvl w:val="0"/>
                <w:numId w:val="1"/>
              </w:numPr>
              <w:snapToGrid w:val="0"/>
              <w:jc w:val="both"/>
            </w:pPr>
            <w:r>
              <w:rPr>
                <w:rFonts w:ascii="標楷體" w:eastAsia="標楷體" w:hAnsi="標楷體" w:cs="標楷體"/>
              </w:rPr>
              <w:t>察舉嚴重不法事件，對維護國家安全、社會秩序或澄清吏治，確有卓越貢獻。</w:t>
            </w:r>
          </w:p>
          <w:p w14:paraId="4CA4A5F5" w14:textId="77777777" w:rsidR="009B6899" w:rsidRDefault="006E24AD">
            <w:pPr>
              <w:numPr>
                <w:ilvl w:val="0"/>
                <w:numId w:val="1"/>
              </w:numPr>
              <w:snapToGrid w:val="0"/>
              <w:jc w:val="both"/>
            </w:pPr>
            <w:r>
              <w:rPr>
                <w:rFonts w:ascii="標楷體" w:eastAsia="標楷體" w:hAnsi="標楷體"/>
              </w:rPr>
              <w:t>適時消弭重大意外事件或變故之發生，或就已發生重大意外事件或變故措置得宜，能予有效控制，</w:t>
            </w:r>
            <w:r>
              <w:rPr>
                <w:rFonts w:ascii="標楷體" w:eastAsia="標楷體" w:hAnsi="標楷體" w:cs="標楷體"/>
              </w:rPr>
              <w:t>對維護生命、財產或減少損害，確有重大貢獻。</w:t>
            </w:r>
          </w:p>
          <w:p w14:paraId="637F8EA7" w14:textId="77777777" w:rsidR="009B6899" w:rsidRDefault="006E24AD">
            <w:pPr>
              <w:numPr>
                <w:ilvl w:val="0"/>
                <w:numId w:val="1"/>
              </w:numPr>
              <w:snapToGrid w:val="0"/>
              <w:jc w:val="both"/>
              <w:rPr>
                <w:rFonts w:ascii="標楷體" w:eastAsia="標楷體" w:hAnsi="標楷體" w:cs="標楷體"/>
              </w:rPr>
            </w:pPr>
            <w:r>
              <w:rPr>
                <w:rFonts w:ascii="標楷體" w:eastAsia="標楷體" w:hAnsi="標楷體" w:cs="標楷體"/>
              </w:rPr>
              <w:t>遇重大事件，不為利誘，不為勢劫，而秉持立場，為國家或機關增進榮譽，有具體事實。</w:t>
            </w:r>
          </w:p>
          <w:p w14:paraId="2F909707" w14:textId="77777777" w:rsidR="009B6899" w:rsidRDefault="006E24AD">
            <w:pPr>
              <w:numPr>
                <w:ilvl w:val="0"/>
                <w:numId w:val="2"/>
              </w:numPr>
              <w:snapToGrid w:val="0"/>
              <w:jc w:val="both"/>
              <w:rPr>
                <w:rFonts w:ascii="標楷體" w:eastAsia="標楷體" w:hAnsi="標楷體" w:cs="標楷體"/>
              </w:rPr>
            </w:pPr>
            <w:r>
              <w:rPr>
                <w:rFonts w:ascii="標楷體" w:eastAsia="標楷體" w:hAnsi="標楷體" w:cs="標楷體"/>
              </w:rPr>
              <w:t>在工作中發明、創造，為國家取得重大經濟效益或增進社會重大公益，且未獲得相對報酬或獎金。</w:t>
            </w:r>
          </w:p>
          <w:p w14:paraId="58FEB2C5" w14:textId="77777777" w:rsidR="009B6899" w:rsidRDefault="006E24AD">
            <w:pPr>
              <w:numPr>
                <w:ilvl w:val="0"/>
                <w:numId w:val="2"/>
              </w:numPr>
              <w:snapToGrid w:val="0"/>
              <w:jc w:val="both"/>
              <w:rPr>
                <w:rFonts w:ascii="標楷體" w:eastAsia="標楷體" w:hAnsi="標楷體" w:cs="標楷體"/>
              </w:rPr>
            </w:pPr>
            <w:r>
              <w:rPr>
                <w:rFonts w:ascii="標楷體" w:eastAsia="標楷體" w:hAnsi="標楷體" w:cs="標楷體"/>
              </w:rPr>
              <w:t>舉辦或參與大型國際性或重大國家級活動、會議，對增加國庫收入、經濟產值、促進邦交或達成國際合作協議，確有重大貢獻。</w:t>
            </w:r>
            <w:r>
              <w:rPr>
                <w:rFonts w:ascii="標楷體" w:eastAsia="標楷體" w:hAnsi="標楷體" w:cs="標楷體"/>
              </w:rPr>
              <w:t xml:space="preserve"> </w:t>
            </w:r>
          </w:p>
          <w:p w14:paraId="3E1D177E" w14:textId="77777777" w:rsidR="009B6899" w:rsidRDefault="006E24AD">
            <w:pPr>
              <w:snapToGrid w:val="0"/>
              <w:ind w:left="240" w:firstLine="480"/>
              <w:jc w:val="both"/>
            </w:pPr>
            <w:r>
              <w:rPr>
                <w:rFonts w:ascii="標楷體" w:eastAsia="標楷體" w:hAnsi="標楷體" w:cs="標楷體"/>
              </w:rPr>
              <w:lastRenderedPageBreak/>
              <w:t>前項各款情形不含機關例行性、經常性業務職掌事項。</w:t>
            </w:r>
          </w:p>
          <w:p w14:paraId="7D1B1423" w14:textId="77777777" w:rsidR="009B6899" w:rsidRDefault="006E24AD">
            <w:pPr>
              <w:snapToGrid w:val="0"/>
              <w:ind w:left="240" w:firstLine="480"/>
              <w:jc w:val="both"/>
              <w:rPr>
                <w:rFonts w:ascii="標楷體" w:eastAsia="標楷體" w:hAnsi="標楷體" w:cs="標楷體"/>
              </w:rPr>
            </w:pPr>
            <w:r>
              <w:rPr>
                <w:rFonts w:ascii="標楷體" w:eastAsia="標楷體" w:hAnsi="標楷體" w:cs="標楷體"/>
              </w:rPr>
              <w:t>依第一項規定一次記二大功及本法第十二條規定一次記</w:t>
            </w:r>
            <w:r>
              <w:rPr>
                <w:rFonts w:ascii="標楷體" w:eastAsia="標楷體" w:hAnsi="標楷體" w:cs="標楷體"/>
              </w:rPr>
              <w:t>二大過之專案考績，應引據法條，詳述具體事實，經核定機關核定後，由主管機關送銓敘部銓敘審定。一次記二大功專案考績送銓敘部銓敘審定時，應檢附具體事實表。除優良事實涉及機密性業務者外，送銓敘部銓敘審定後，應將優良事實及獎勵令刊登政府公報。</w:t>
            </w:r>
          </w:p>
          <w:p w14:paraId="12E07AFA" w14:textId="77777777" w:rsidR="009B6899" w:rsidRDefault="006E24AD">
            <w:pPr>
              <w:snapToGrid w:val="0"/>
              <w:ind w:left="240" w:firstLine="480"/>
              <w:jc w:val="both"/>
            </w:pPr>
            <w:r>
              <w:rPr>
                <w:rFonts w:ascii="標楷體" w:eastAsia="標楷體" w:hAnsi="標楷體" w:cs="標楷體"/>
                <w:u w:val="single"/>
              </w:rPr>
              <w:t>前項主管機關</w:t>
            </w:r>
            <w:r>
              <w:rPr>
                <w:rFonts w:ascii="標楷體" w:eastAsia="標楷體" w:hAnsi="標楷體" w:cs="標楷體"/>
              </w:rPr>
              <w:t>應就第一項專案考績案件之性質、規模、困難度及複雜度等，為妥適性</w:t>
            </w:r>
            <w:proofErr w:type="gramStart"/>
            <w:r>
              <w:rPr>
                <w:rFonts w:ascii="標楷體" w:eastAsia="標楷體" w:hAnsi="標楷體" w:cs="標楷體"/>
              </w:rPr>
              <w:t>及衡平性</w:t>
            </w:r>
            <w:proofErr w:type="gramEnd"/>
            <w:r>
              <w:rPr>
                <w:rFonts w:ascii="標楷體" w:eastAsia="標楷體" w:hAnsi="標楷體" w:cs="標楷體"/>
              </w:rPr>
              <w:t>之考量，</w:t>
            </w:r>
            <w:r>
              <w:rPr>
                <w:rFonts w:ascii="標楷體" w:eastAsia="標楷體" w:hAnsi="標楷體" w:cs="標楷體"/>
                <w:u w:val="single"/>
              </w:rPr>
              <w:t>其有授權所屬機關核定者，</w:t>
            </w:r>
            <w:r>
              <w:rPr>
                <w:rFonts w:ascii="標楷體" w:eastAsia="標楷體" w:hAnsi="標楷體" w:cs="標楷體"/>
              </w:rPr>
              <w:t>並得依原送</w:t>
            </w:r>
            <w:r>
              <w:rPr>
                <w:rFonts w:ascii="標楷體" w:eastAsia="標楷體" w:hAnsi="標楷體" w:cs="標楷體"/>
                <w:u w:val="single"/>
              </w:rPr>
              <w:t>案</w:t>
            </w:r>
            <w:r>
              <w:rPr>
                <w:rFonts w:ascii="標楷體" w:eastAsia="標楷體" w:hAnsi="標楷體" w:cs="標楷體"/>
              </w:rPr>
              <w:t>程序，退還</w:t>
            </w:r>
            <w:r>
              <w:rPr>
                <w:rFonts w:ascii="標楷體" w:eastAsia="標楷體" w:hAnsi="標楷體" w:cs="標楷體"/>
                <w:u w:val="single"/>
              </w:rPr>
              <w:t>核定</w:t>
            </w:r>
            <w:r>
              <w:rPr>
                <w:rFonts w:ascii="標楷體" w:eastAsia="標楷體" w:hAnsi="標楷體" w:cs="標楷體"/>
              </w:rPr>
              <w:t>機關再行審酌。</w:t>
            </w:r>
          </w:p>
          <w:p w14:paraId="48DA90D4" w14:textId="77777777" w:rsidR="009B6899" w:rsidRDefault="006E24AD">
            <w:pPr>
              <w:snapToGrid w:val="0"/>
              <w:ind w:left="240" w:firstLine="480"/>
              <w:jc w:val="both"/>
            </w:pPr>
            <w:r>
              <w:rPr>
                <w:rFonts w:ascii="標楷體" w:eastAsia="標楷體" w:hAnsi="標楷體" w:cs="標楷體"/>
              </w:rPr>
              <w:t>第三項一次記二大功專案考績具體事實表格式，由</w:t>
            </w:r>
            <w:proofErr w:type="gramStart"/>
            <w:r>
              <w:rPr>
                <w:rFonts w:ascii="標楷體" w:eastAsia="標楷體" w:hAnsi="標楷體" w:cs="標楷體"/>
              </w:rPr>
              <w:t>銓敘部定之</w:t>
            </w:r>
            <w:proofErr w:type="gramEnd"/>
            <w:r>
              <w:rPr>
                <w:rFonts w:ascii="標楷體" w:eastAsia="標楷體" w:hAnsi="標楷體" w:cs="標楷體"/>
              </w:rPr>
              <w:t>。</w:t>
            </w:r>
          </w:p>
          <w:p w14:paraId="03F2DDDA" w14:textId="77777777" w:rsidR="009B6899" w:rsidRDefault="009B6899">
            <w:pPr>
              <w:ind w:left="240" w:firstLine="480"/>
              <w:jc w:val="both"/>
              <w:rPr>
                <w:rFonts w:ascii="標楷體" w:eastAsia="標楷體" w:hAnsi="標楷體" w:cs="標楷體"/>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359697" w14:textId="77777777" w:rsidR="009B6899" w:rsidRDefault="006E24AD">
            <w:pPr>
              <w:snapToGrid w:val="0"/>
              <w:ind w:left="240" w:hanging="240"/>
              <w:jc w:val="both"/>
            </w:pPr>
            <w:r>
              <w:rPr>
                <w:rFonts w:ascii="標楷體" w:eastAsia="標楷體" w:hAnsi="標楷體" w:cs="標楷體"/>
              </w:rPr>
              <w:lastRenderedPageBreak/>
              <w:t>第十四條　本法第十二條第一項第二款所</w:t>
            </w:r>
            <w:r>
              <w:rPr>
                <w:rFonts w:ascii="標楷體" w:eastAsia="標楷體" w:hAnsi="標楷體"/>
              </w:rPr>
              <w:t>稱</w:t>
            </w:r>
            <w:r>
              <w:rPr>
                <w:rFonts w:ascii="標楷體" w:eastAsia="標楷體" w:hAnsi="標楷體" w:cs="標楷體"/>
              </w:rPr>
              <w:t>專案考績一</w:t>
            </w:r>
            <w:r>
              <w:rPr>
                <w:rFonts w:ascii="標楷體" w:eastAsia="標楷體" w:hAnsi="標楷體"/>
              </w:rPr>
              <w:t>次記二大功，以</w:t>
            </w:r>
            <w:r>
              <w:rPr>
                <w:rFonts w:ascii="標楷體" w:eastAsia="標楷體" w:hAnsi="標楷體"/>
              </w:rPr>
              <w:t>有下列情形之</w:t>
            </w:r>
            <w:proofErr w:type="gramStart"/>
            <w:r>
              <w:rPr>
                <w:rFonts w:ascii="標楷體" w:eastAsia="標楷體" w:hAnsi="標楷體"/>
              </w:rPr>
              <w:t>一</w:t>
            </w:r>
            <w:proofErr w:type="gramEnd"/>
            <w:r>
              <w:rPr>
                <w:rFonts w:ascii="標楷體" w:eastAsia="標楷體" w:hAnsi="標楷體"/>
              </w:rPr>
              <w:t>且為主要貢獻者為限：</w:t>
            </w:r>
          </w:p>
          <w:p w14:paraId="7DDEE0A4" w14:textId="77777777" w:rsidR="009B6899" w:rsidRDefault="006E24AD">
            <w:pPr>
              <w:numPr>
                <w:ilvl w:val="0"/>
                <w:numId w:val="3"/>
              </w:numPr>
              <w:snapToGrid w:val="0"/>
              <w:jc w:val="both"/>
            </w:pPr>
            <w:r>
              <w:rPr>
                <w:rFonts w:ascii="標楷體" w:eastAsia="標楷體" w:hAnsi="標楷體" w:cs="標楷體"/>
              </w:rPr>
              <w:t>針對時弊，</w:t>
            </w:r>
            <w:proofErr w:type="gramStart"/>
            <w:r>
              <w:rPr>
                <w:rFonts w:ascii="標楷體" w:eastAsia="標楷體" w:hAnsi="標楷體" w:cs="標楷體"/>
              </w:rPr>
              <w:t>研</w:t>
            </w:r>
            <w:proofErr w:type="gramEnd"/>
            <w:r>
              <w:rPr>
                <w:rFonts w:ascii="標楷體" w:eastAsia="標楷體" w:hAnsi="標楷體" w:cs="標楷體"/>
              </w:rPr>
              <w:t>擬改進措施，經主管機關</w:t>
            </w:r>
            <w:proofErr w:type="gramStart"/>
            <w:r>
              <w:rPr>
                <w:rFonts w:ascii="標楷體" w:eastAsia="標楷體" w:hAnsi="標楷體" w:cs="標楷體"/>
              </w:rPr>
              <w:t>採行確</w:t>
            </w:r>
            <w:proofErr w:type="gramEnd"/>
            <w:r>
              <w:rPr>
                <w:rFonts w:ascii="標楷體" w:eastAsia="標楷體" w:hAnsi="標楷體" w:cs="標楷體"/>
              </w:rPr>
              <w:t>有重大成效。</w:t>
            </w:r>
          </w:p>
          <w:p w14:paraId="6A5CDFD9" w14:textId="77777777" w:rsidR="009B6899" w:rsidRDefault="006E24AD">
            <w:pPr>
              <w:numPr>
                <w:ilvl w:val="0"/>
                <w:numId w:val="3"/>
              </w:numPr>
              <w:snapToGrid w:val="0"/>
              <w:jc w:val="both"/>
            </w:pPr>
            <w:r>
              <w:rPr>
                <w:rFonts w:ascii="標楷體" w:eastAsia="標楷體" w:hAnsi="標楷體" w:cs="標楷體"/>
              </w:rPr>
              <w:t>對主辦業務，建立完善制度或提出重大革新具體方案，經主管機關</w:t>
            </w:r>
            <w:proofErr w:type="gramStart"/>
            <w:r>
              <w:rPr>
                <w:rFonts w:ascii="標楷體" w:eastAsia="標楷體" w:hAnsi="標楷體" w:cs="標楷體"/>
              </w:rPr>
              <w:t>採行確</w:t>
            </w:r>
            <w:proofErr w:type="gramEnd"/>
            <w:r>
              <w:rPr>
                <w:rFonts w:ascii="標楷體" w:eastAsia="標楷體" w:hAnsi="標楷體" w:cs="標楷體"/>
              </w:rPr>
              <w:t>有顯著成效。</w:t>
            </w:r>
          </w:p>
          <w:p w14:paraId="080473CF" w14:textId="77777777" w:rsidR="009B6899" w:rsidRDefault="006E24AD">
            <w:pPr>
              <w:numPr>
                <w:ilvl w:val="0"/>
                <w:numId w:val="3"/>
              </w:numPr>
              <w:snapToGrid w:val="0"/>
              <w:jc w:val="both"/>
            </w:pPr>
            <w:r>
              <w:rPr>
                <w:rFonts w:ascii="標楷體" w:eastAsia="標楷體" w:hAnsi="標楷體" w:cs="標楷體"/>
              </w:rPr>
              <w:t>察舉嚴重不法事件，對維護國家安全、社會秩序或澄清吏治，確有卓越貢獻。</w:t>
            </w:r>
          </w:p>
          <w:p w14:paraId="2DDB75DC" w14:textId="77777777" w:rsidR="009B6899" w:rsidRDefault="006E24AD">
            <w:pPr>
              <w:numPr>
                <w:ilvl w:val="0"/>
                <w:numId w:val="3"/>
              </w:numPr>
              <w:snapToGrid w:val="0"/>
              <w:jc w:val="both"/>
            </w:pPr>
            <w:r>
              <w:rPr>
                <w:rFonts w:ascii="標楷體" w:eastAsia="標楷體" w:hAnsi="標楷體"/>
              </w:rPr>
              <w:t>適時消弭重大意外事件或變故之發生，或就已發生重大意外事件或變故措置得宜，能予有效控制，</w:t>
            </w:r>
            <w:r>
              <w:rPr>
                <w:rFonts w:ascii="標楷體" w:eastAsia="標楷體" w:hAnsi="標楷體" w:cs="標楷體"/>
              </w:rPr>
              <w:t>對維護生命、財產或減少損害，確有重大貢獻。</w:t>
            </w:r>
          </w:p>
          <w:p w14:paraId="57455276" w14:textId="77777777" w:rsidR="009B6899" w:rsidRDefault="006E24AD">
            <w:pPr>
              <w:numPr>
                <w:ilvl w:val="0"/>
                <w:numId w:val="3"/>
              </w:numPr>
              <w:snapToGrid w:val="0"/>
              <w:jc w:val="both"/>
              <w:rPr>
                <w:rFonts w:ascii="標楷體" w:eastAsia="標楷體" w:hAnsi="標楷體" w:cs="標楷體"/>
              </w:rPr>
            </w:pPr>
            <w:r>
              <w:rPr>
                <w:rFonts w:ascii="標楷體" w:eastAsia="標楷體" w:hAnsi="標楷體" w:cs="標楷體"/>
              </w:rPr>
              <w:t>遇重大事件，不為利誘，不為勢劫，而秉持立場，為國家或機關增進榮譽，有具體事實。</w:t>
            </w:r>
          </w:p>
          <w:p w14:paraId="19795508" w14:textId="77777777" w:rsidR="009B6899" w:rsidRDefault="006E24AD">
            <w:pPr>
              <w:numPr>
                <w:ilvl w:val="0"/>
                <w:numId w:val="3"/>
              </w:numPr>
              <w:snapToGrid w:val="0"/>
              <w:jc w:val="both"/>
              <w:rPr>
                <w:rFonts w:ascii="標楷體" w:eastAsia="標楷體" w:hAnsi="標楷體" w:cs="標楷體"/>
              </w:rPr>
            </w:pPr>
            <w:r>
              <w:rPr>
                <w:rFonts w:ascii="標楷體" w:eastAsia="標楷體" w:hAnsi="標楷體" w:cs="標楷體"/>
              </w:rPr>
              <w:t>在工作中發明、創造，為國家取得重大經濟效益或增進社會重大公益，且未獲得相對報酬或獎金。</w:t>
            </w:r>
          </w:p>
          <w:p w14:paraId="5EBFD76A" w14:textId="77777777" w:rsidR="009B6899" w:rsidRDefault="006E24AD">
            <w:pPr>
              <w:numPr>
                <w:ilvl w:val="0"/>
                <w:numId w:val="3"/>
              </w:numPr>
              <w:snapToGrid w:val="0"/>
              <w:jc w:val="both"/>
              <w:rPr>
                <w:rFonts w:ascii="標楷體" w:eastAsia="標楷體" w:hAnsi="標楷體" w:cs="標楷體"/>
              </w:rPr>
            </w:pPr>
            <w:r>
              <w:rPr>
                <w:rFonts w:ascii="標楷體" w:eastAsia="標楷體" w:hAnsi="標楷體" w:cs="標楷體"/>
              </w:rPr>
              <w:t>舉辦或參與大型國際性或重大國家級活動、會議，對增加國庫收入、經濟產值、促進邦交或達成國際合作協議，確有重大貢獻。</w:t>
            </w:r>
            <w:r>
              <w:rPr>
                <w:rFonts w:ascii="標楷體" w:eastAsia="標楷體" w:hAnsi="標楷體" w:cs="標楷體"/>
              </w:rPr>
              <w:t xml:space="preserve"> </w:t>
            </w:r>
          </w:p>
          <w:p w14:paraId="00B7F09A" w14:textId="77777777" w:rsidR="009B6899" w:rsidRDefault="006E24AD">
            <w:pPr>
              <w:snapToGrid w:val="0"/>
              <w:ind w:left="240" w:firstLine="480"/>
              <w:jc w:val="both"/>
            </w:pPr>
            <w:r>
              <w:rPr>
                <w:rFonts w:ascii="標楷體" w:eastAsia="標楷體" w:hAnsi="標楷體" w:cs="標楷體"/>
              </w:rPr>
              <w:lastRenderedPageBreak/>
              <w:t>前項各款情形不含機關例行性、經常性業務職掌事項。</w:t>
            </w:r>
          </w:p>
          <w:p w14:paraId="2B95F76C" w14:textId="77777777" w:rsidR="009B6899" w:rsidRDefault="006E24AD">
            <w:pPr>
              <w:snapToGrid w:val="0"/>
              <w:ind w:left="240" w:firstLine="480"/>
              <w:jc w:val="both"/>
              <w:rPr>
                <w:rFonts w:ascii="標楷體" w:eastAsia="標楷體" w:hAnsi="標楷體" w:cs="標楷體"/>
              </w:rPr>
            </w:pPr>
            <w:r>
              <w:rPr>
                <w:rFonts w:ascii="標楷體" w:eastAsia="標楷體" w:hAnsi="標楷體" w:cs="標楷體"/>
              </w:rPr>
              <w:t>依第一項規定一次記二大功及本法第十二條規定一次記二大過之專案考績，應引據法條，詳述具體事實，經核定機關核定後，由主管機關送銓敘部銓敘審定。一次記二大功專案考績送銓敘部銓敘審定時，</w:t>
            </w:r>
            <w:r>
              <w:rPr>
                <w:rFonts w:ascii="標楷體" w:eastAsia="標楷體" w:hAnsi="標楷體" w:cs="標楷體"/>
              </w:rPr>
              <w:t>應檢附具體事實表。除優良事實涉及機密性業務者外，送銓敘部銓敘審定後，應將優良事實及獎勵令刊登政府公報。</w:t>
            </w:r>
          </w:p>
          <w:p w14:paraId="3341BBE9" w14:textId="77777777" w:rsidR="009B6899" w:rsidRDefault="006E24AD">
            <w:pPr>
              <w:snapToGrid w:val="0"/>
              <w:ind w:left="240" w:firstLine="480"/>
              <w:jc w:val="both"/>
            </w:pPr>
            <w:r>
              <w:rPr>
                <w:rFonts w:ascii="標楷體" w:eastAsia="標楷體" w:hAnsi="標楷體" w:cs="標楷體"/>
              </w:rPr>
              <w:t>銓敘部</w:t>
            </w:r>
            <w:r>
              <w:rPr>
                <w:rFonts w:ascii="標楷體" w:eastAsia="標楷體" w:hAnsi="標楷體" w:cs="標楷體"/>
                <w:u w:val="single"/>
              </w:rPr>
              <w:t>銓敘審定</w:t>
            </w:r>
            <w:r>
              <w:rPr>
                <w:rFonts w:ascii="標楷體" w:eastAsia="標楷體" w:hAnsi="標楷體" w:cs="標楷體"/>
              </w:rPr>
              <w:t>第一項</w:t>
            </w:r>
            <w:r>
              <w:rPr>
                <w:rFonts w:ascii="標楷體" w:eastAsia="標楷體" w:hAnsi="標楷體" w:cs="標楷體"/>
                <w:u w:val="single"/>
              </w:rPr>
              <w:t>專案考績，除發現有違反考績法規情事，應依本法第十六條及第二十二條規定辦理外，</w:t>
            </w:r>
            <w:r>
              <w:rPr>
                <w:rFonts w:ascii="標楷體" w:eastAsia="標楷體" w:hAnsi="標楷體" w:cs="標楷體"/>
              </w:rPr>
              <w:t>應就專案考績案件之性質、規模、困難度及複雜度等，為妥適性</w:t>
            </w:r>
            <w:proofErr w:type="gramStart"/>
            <w:r>
              <w:rPr>
                <w:rFonts w:ascii="標楷體" w:eastAsia="標楷體" w:hAnsi="標楷體" w:cs="標楷體"/>
              </w:rPr>
              <w:t>及衡平性</w:t>
            </w:r>
            <w:proofErr w:type="gramEnd"/>
            <w:r>
              <w:rPr>
                <w:rFonts w:ascii="標楷體" w:eastAsia="標楷體" w:hAnsi="標楷體" w:cs="標楷體"/>
              </w:rPr>
              <w:t>之考量，並得依原送審程序，退還主管機關再行審酌。</w:t>
            </w:r>
          </w:p>
          <w:p w14:paraId="7BD2982B" w14:textId="77777777" w:rsidR="009B6899" w:rsidRDefault="006E24AD">
            <w:pPr>
              <w:snapToGrid w:val="0"/>
              <w:ind w:left="240" w:firstLine="480"/>
              <w:jc w:val="both"/>
            </w:pPr>
            <w:r>
              <w:rPr>
                <w:rFonts w:ascii="標楷體" w:eastAsia="標楷體" w:hAnsi="標楷體" w:cs="標楷體"/>
              </w:rPr>
              <w:t>第三項一次記二大功專案考績具體事實表格式，由</w:t>
            </w:r>
            <w:proofErr w:type="gramStart"/>
            <w:r>
              <w:rPr>
                <w:rFonts w:ascii="標楷體" w:eastAsia="標楷體" w:hAnsi="標楷體" w:cs="標楷體"/>
              </w:rPr>
              <w:t>銓敘部定之</w:t>
            </w:r>
            <w:proofErr w:type="gramEnd"/>
            <w:r>
              <w:rPr>
                <w:rFonts w:ascii="標楷體" w:eastAsia="標楷體" w:hAnsi="標楷體" w:cs="標楷體"/>
              </w:rPr>
              <w:t>。</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924ACDB" w14:textId="77777777" w:rsidR="009B6899" w:rsidRDefault="006E24AD">
            <w:pPr>
              <w:numPr>
                <w:ilvl w:val="0"/>
                <w:numId w:val="4"/>
              </w:numPr>
              <w:jc w:val="both"/>
              <w:rPr>
                <w:rFonts w:ascii="標楷體" w:eastAsia="標楷體" w:hAnsi="標楷體"/>
              </w:rPr>
            </w:pPr>
            <w:proofErr w:type="gramStart"/>
            <w:r>
              <w:rPr>
                <w:rFonts w:ascii="標楷體" w:eastAsia="標楷體" w:hAnsi="標楷體"/>
              </w:rPr>
              <w:lastRenderedPageBreak/>
              <w:t>本條依現行</w:t>
            </w:r>
            <w:proofErr w:type="gramEnd"/>
            <w:r>
              <w:rPr>
                <w:rFonts w:ascii="標楷體" w:eastAsia="標楷體" w:hAnsi="標楷體"/>
              </w:rPr>
              <w:t>條文修正第四項。</w:t>
            </w:r>
          </w:p>
          <w:p w14:paraId="6F08401F" w14:textId="77777777" w:rsidR="009B6899" w:rsidRDefault="006E24AD">
            <w:pPr>
              <w:numPr>
                <w:ilvl w:val="0"/>
                <w:numId w:val="4"/>
              </w:numPr>
              <w:jc w:val="both"/>
              <w:rPr>
                <w:rFonts w:ascii="標楷體" w:eastAsia="標楷體" w:hAnsi="標楷體"/>
              </w:rPr>
            </w:pPr>
            <w:r>
              <w:rPr>
                <w:rFonts w:ascii="標楷體" w:eastAsia="標楷體" w:hAnsi="標楷體"/>
              </w:rPr>
              <w:t>茲為解決實務上各機關時有於類同獎勵</w:t>
            </w:r>
            <w:proofErr w:type="gramStart"/>
            <w:r>
              <w:rPr>
                <w:rFonts w:ascii="標楷體" w:eastAsia="標楷體" w:hAnsi="標楷體"/>
              </w:rPr>
              <w:t>事由上敘獎</w:t>
            </w:r>
            <w:proofErr w:type="gramEnd"/>
            <w:r>
              <w:rPr>
                <w:rFonts w:ascii="標楷體" w:eastAsia="標楷體" w:hAnsi="標楷體"/>
              </w:rPr>
              <w:t>額度懸殊之情事，並為期一次記二大功專案考績之獎勵得以名實相符，本細則</w:t>
            </w:r>
            <w:r>
              <w:rPr>
                <w:rFonts w:ascii="標楷體" w:eastAsia="標楷體" w:hAnsi="標楷體"/>
              </w:rPr>
              <w:t>前於一百零三年七月二十二日修正將一次記二大功專案考績要件予以具體明確規範，亦增訂</w:t>
            </w:r>
            <w:proofErr w:type="gramStart"/>
            <w:r>
              <w:rPr>
                <w:rFonts w:ascii="標楷體" w:eastAsia="標楷體" w:hAnsi="標楷體"/>
              </w:rPr>
              <w:t>銓敘部應就</w:t>
            </w:r>
            <w:proofErr w:type="gramEnd"/>
            <w:r>
              <w:rPr>
                <w:rFonts w:ascii="標楷體" w:eastAsia="標楷體" w:hAnsi="標楷體"/>
              </w:rPr>
              <w:t>專案考績案件之妥適性</w:t>
            </w:r>
            <w:proofErr w:type="gramStart"/>
            <w:r>
              <w:rPr>
                <w:rFonts w:ascii="標楷體" w:eastAsia="標楷體" w:hAnsi="標楷體"/>
              </w:rPr>
              <w:t>及衡平性</w:t>
            </w:r>
            <w:proofErr w:type="gramEnd"/>
            <w:r>
              <w:rPr>
                <w:rFonts w:ascii="標楷體" w:eastAsia="標楷體" w:hAnsi="標楷體"/>
              </w:rPr>
              <w:t>予以考量等相關規定；</w:t>
            </w:r>
            <w:proofErr w:type="gramStart"/>
            <w:r>
              <w:rPr>
                <w:rFonts w:ascii="標楷體" w:eastAsia="標楷體" w:hAnsi="標楷體"/>
              </w:rPr>
              <w:t>銓敘部並配合</w:t>
            </w:r>
            <w:proofErr w:type="gramEnd"/>
            <w:r>
              <w:rPr>
                <w:rFonts w:ascii="標楷體" w:eastAsia="標楷體" w:hAnsi="標楷體"/>
              </w:rPr>
              <w:t>成立一次記二大功專案考績案件審查小組，就複雜度高、敘獎規模大或屬首例之一次記二大功專案考績案件作實質審查，為是類案件進行把關。</w:t>
            </w:r>
          </w:p>
          <w:p w14:paraId="2A90DB0D" w14:textId="77777777" w:rsidR="009B6899" w:rsidRDefault="006E24AD">
            <w:pPr>
              <w:numPr>
                <w:ilvl w:val="0"/>
                <w:numId w:val="4"/>
              </w:numPr>
              <w:jc w:val="both"/>
            </w:pPr>
            <w:r>
              <w:rPr>
                <w:rFonts w:ascii="標楷體" w:eastAsia="標楷體" w:hAnsi="標楷體"/>
              </w:rPr>
              <w:t>審酌本</w:t>
            </w:r>
            <w:proofErr w:type="gramStart"/>
            <w:r>
              <w:rPr>
                <w:rFonts w:ascii="標楷體" w:eastAsia="標楷體" w:hAnsi="標楷體"/>
              </w:rPr>
              <w:t>細則前業修正</w:t>
            </w:r>
            <w:proofErr w:type="gramEnd"/>
            <w:r>
              <w:rPr>
                <w:rFonts w:ascii="標楷體" w:eastAsia="標楷體" w:hAnsi="標楷體"/>
              </w:rPr>
              <w:t>將一次記二大功之要件予以具體明確規範，且相關主管機關亦已修正內部獎勵標準，故近來各機關辦理一次記二大功專案考績案件已漸趨合理，基於尊重各主管機關對於所屬公務人員之獎懲權責</w:t>
            </w:r>
            <w:r>
              <w:rPr>
                <w:rFonts w:ascii="標楷體" w:eastAsia="標楷體" w:hAnsi="標楷體"/>
                <w:bCs/>
              </w:rPr>
              <w:t>，並課以</w:t>
            </w:r>
            <w:r>
              <w:rPr>
                <w:rFonts w:ascii="標楷體" w:eastAsia="標楷體" w:hAnsi="標楷體"/>
                <w:bCs/>
              </w:rPr>
              <w:t>主管機關主動審核之責，</w:t>
            </w:r>
            <w:proofErr w:type="gramStart"/>
            <w:r>
              <w:rPr>
                <w:rFonts w:ascii="標楷體" w:eastAsia="標楷體" w:hAnsi="標楷體"/>
                <w:bCs/>
              </w:rPr>
              <w:t>爰</w:t>
            </w:r>
            <w:proofErr w:type="gramEnd"/>
            <w:r>
              <w:rPr>
                <w:rFonts w:ascii="標楷體" w:eastAsia="標楷體" w:hAnsi="標楷體"/>
                <w:bCs/>
              </w:rPr>
              <w:t>修正第四項規定</w:t>
            </w:r>
            <w:r>
              <w:rPr>
                <w:rFonts w:ascii="標楷體" w:eastAsia="標楷體" w:hAnsi="標楷體"/>
              </w:rPr>
              <w:t>；又為利主管機關實務執行有所依循，</w:t>
            </w:r>
            <w:proofErr w:type="gramStart"/>
            <w:r>
              <w:rPr>
                <w:rFonts w:ascii="標楷體" w:eastAsia="標楷體" w:hAnsi="標楷體"/>
              </w:rPr>
              <w:t>併</w:t>
            </w:r>
            <w:proofErr w:type="gramEnd"/>
            <w:r>
              <w:rPr>
                <w:rFonts w:ascii="標楷體" w:eastAsia="標楷體" w:hAnsi="標楷體"/>
              </w:rPr>
              <w:t>予明定主管機關有授權所屬機關核定一次記二大功專案考績者，得退還核定機關再行審酌之相關程序規定，至主管機關未授權或未有所屬機關者，以</w:t>
            </w:r>
            <w:r>
              <w:rPr>
                <w:rFonts w:ascii="標楷體" w:eastAsia="標楷體" w:hAnsi="標楷體"/>
              </w:rPr>
              <w:lastRenderedPageBreak/>
              <w:t>主管機關即係核定機關，自無退案程序之適用。嗣後</w:t>
            </w:r>
            <w:r>
              <w:rPr>
                <w:rFonts w:ascii="標楷體" w:eastAsia="標楷體" w:hAnsi="標楷體"/>
                <w:bCs/>
              </w:rPr>
              <w:t>銓敘部辦理公務人員一次記二大功專案考績之銓敘審定案件，雖不再進行實質審查；惟依公務人員考績法第十六條及本細則第二十二條規定，銓敘部辦理上開專案考績之銓敘審定案件時，如發現有違反考績法規情事，仍應照原送案程序，退還原考績機關另為適法之處分。基此，為利主管機關將審查</w:t>
            </w:r>
            <w:r>
              <w:rPr>
                <w:rFonts w:ascii="標楷體" w:eastAsia="標楷體" w:hAnsi="標楷體"/>
                <w:bCs/>
              </w:rPr>
              <w:t>結果填具公務人員一次記二大功專案考績具體事實表，供銓敘部銓敘審定作業之用，</w:t>
            </w:r>
            <w:proofErr w:type="gramStart"/>
            <w:r>
              <w:rPr>
                <w:rFonts w:ascii="標楷體" w:eastAsia="標楷體" w:hAnsi="標楷體"/>
                <w:bCs/>
              </w:rPr>
              <w:t>爰</w:t>
            </w:r>
            <w:proofErr w:type="gramEnd"/>
            <w:r>
              <w:rPr>
                <w:rFonts w:ascii="標楷體" w:eastAsia="標楷體" w:hAnsi="標楷體"/>
                <w:bCs/>
              </w:rPr>
              <w:t>配合修正上開事實表格式。</w:t>
            </w:r>
          </w:p>
        </w:tc>
      </w:tr>
    </w:tbl>
    <w:p w14:paraId="618F1381" w14:textId="77777777" w:rsidR="009B6899" w:rsidRDefault="009B6899"/>
    <w:sectPr w:rsidR="009B6899">
      <w:footerReference w:type="default" r:id="rId8"/>
      <w:pgSz w:w="11906" w:h="16838"/>
      <w:pgMar w:top="1276" w:right="1418" w:bottom="1276" w:left="170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2BF0" w14:textId="77777777" w:rsidR="006E24AD" w:rsidRDefault="006E24AD">
      <w:r>
        <w:separator/>
      </w:r>
    </w:p>
  </w:endnote>
  <w:endnote w:type="continuationSeparator" w:id="0">
    <w:p w14:paraId="7709B29C" w14:textId="77777777" w:rsidR="006E24AD" w:rsidRDefault="006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6083" w14:textId="77777777" w:rsidR="005F35B7" w:rsidRDefault="006E24AD">
    <w:pPr>
      <w:pStyle w:val="a3"/>
    </w:pPr>
    <w:r>
      <w:rPr>
        <w:noProof/>
      </w:rPr>
      <mc:AlternateContent>
        <mc:Choice Requires="wps">
          <w:drawing>
            <wp:anchor distT="0" distB="0" distL="114300" distR="114300" simplePos="0" relativeHeight="251659264" behindDoc="0" locked="0" layoutInCell="1" allowOverlap="1" wp14:anchorId="10027CE9" wp14:editId="4A7EA8E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2CC8CE5" w14:textId="77777777" w:rsidR="005F35B7" w:rsidRDefault="006E24AD">
                          <w:pPr>
                            <w:pStyle w:val="a3"/>
                          </w:pPr>
                          <w:r>
                            <w:rPr>
                              <w:rStyle w:val="a4"/>
                            </w:rPr>
                            <w:fldChar w:fldCharType="begin"/>
                          </w:r>
                          <w:r>
                            <w:rPr>
                              <w:rStyle w:val="a4"/>
                            </w:rPr>
                            <w:instrText xml:space="preserve"> PAGE </w:instrText>
                          </w:r>
                          <w:r>
                            <w:rPr>
                              <w:rStyle w:val="a4"/>
                            </w:rPr>
                            <w:fldChar w:fldCharType="separate"/>
                          </w:r>
                          <w:r>
                            <w:rPr>
                              <w:rStyle w:val="a4"/>
                            </w:rPr>
                            <w:t>4</w:t>
                          </w:r>
                          <w:r>
                            <w:rPr>
                              <w:rStyle w:val="a4"/>
                            </w:rPr>
                            <w:fldChar w:fldCharType="end"/>
                          </w:r>
                        </w:p>
                      </w:txbxContent>
                    </wps:txbx>
                    <wps:bodyPr wrap="none" lIns="0" tIns="0" rIns="0" bIns="0">
                      <a:spAutoFit/>
                    </wps:bodyPr>
                  </wps:wsp>
                </a:graphicData>
              </a:graphic>
            </wp:anchor>
          </w:drawing>
        </mc:Choice>
        <mc:Fallback>
          <w:pict>
            <v:shapetype w14:anchorId="10027CE9"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32CC8CE5" w14:textId="77777777" w:rsidR="005F35B7" w:rsidRDefault="006E24AD">
                    <w:pPr>
                      <w:pStyle w:val="a3"/>
                    </w:pPr>
                    <w:r>
                      <w:rPr>
                        <w:rStyle w:val="a4"/>
                      </w:rPr>
                      <w:fldChar w:fldCharType="begin"/>
                    </w:r>
                    <w:r>
                      <w:rPr>
                        <w:rStyle w:val="a4"/>
                      </w:rPr>
                      <w:instrText xml:space="preserve"> PAGE </w:instrText>
                    </w:r>
                    <w:r>
                      <w:rPr>
                        <w:rStyle w:val="a4"/>
                      </w:rPr>
                      <w:fldChar w:fldCharType="separate"/>
                    </w:r>
                    <w:r>
                      <w:rPr>
                        <w:rStyle w:val="a4"/>
                      </w:rPr>
                      <w:t>4</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8B5B" w14:textId="77777777" w:rsidR="005F35B7" w:rsidRDefault="006E24AD">
    <w:pPr>
      <w:pStyle w:val="a3"/>
    </w:pPr>
    <w:r>
      <w:rPr>
        <w:noProof/>
      </w:rPr>
      <mc:AlternateContent>
        <mc:Choice Requires="wps">
          <w:drawing>
            <wp:anchor distT="0" distB="0" distL="114300" distR="114300" simplePos="0" relativeHeight="251661312" behindDoc="0" locked="0" layoutInCell="1" allowOverlap="1" wp14:anchorId="78233B00" wp14:editId="7A9B63F6">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63DA76E" w14:textId="77777777" w:rsidR="005F35B7" w:rsidRDefault="006E24AD">
                          <w:pPr>
                            <w:pStyle w:val="a3"/>
                          </w:pPr>
                          <w:r>
                            <w:rPr>
                              <w:rStyle w:val="a4"/>
                            </w:rPr>
                            <w:fldChar w:fldCharType="begin"/>
                          </w:r>
                          <w:r>
                            <w:rPr>
                              <w:rStyle w:val="a4"/>
                            </w:rPr>
                            <w:instrText xml:space="preserve"> PAGE </w:instrText>
                          </w:r>
                          <w:r>
                            <w:rPr>
                              <w:rStyle w:val="a4"/>
                            </w:rPr>
                            <w:fldChar w:fldCharType="separate"/>
                          </w:r>
                          <w:r>
                            <w:rPr>
                              <w:rStyle w:val="a4"/>
                            </w:rPr>
                            <w:t>4</w:t>
                          </w:r>
                          <w:r>
                            <w:rPr>
                              <w:rStyle w:val="a4"/>
                            </w:rPr>
                            <w:fldChar w:fldCharType="end"/>
                          </w:r>
                        </w:p>
                      </w:txbxContent>
                    </wps:txbx>
                    <wps:bodyPr wrap="none" lIns="0" tIns="0" rIns="0" bIns="0">
                      <a:spAutoFit/>
                    </wps:bodyPr>
                  </wps:wsp>
                </a:graphicData>
              </a:graphic>
            </wp:anchor>
          </w:drawing>
        </mc:Choice>
        <mc:Fallback>
          <w:pict>
            <v:shapetype w14:anchorId="78233B00" id="_x0000_t202" coordsize="21600,21600" o:spt="202" path="m,l,21600r21600,l21600,xe">
              <v:stroke joinstyle="miter"/>
              <v:path gradientshapeok="t" o:connecttype="rect"/>
            </v:shapetype>
            <v:shape id="文字方塊 2" o:spid="_x0000_s1028"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14:paraId="563DA76E" w14:textId="77777777" w:rsidR="005F35B7" w:rsidRDefault="006E24AD">
                    <w:pPr>
                      <w:pStyle w:val="a3"/>
                    </w:pPr>
                    <w:r>
                      <w:rPr>
                        <w:rStyle w:val="a4"/>
                      </w:rPr>
                      <w:fldChar w:fldCharType="begin"/>
                    </w:r>
                    <w:r>
                      <w:rPr>
                        <w:rStyle w:val="a4"/>
                      </w:rPr>
                      <w:instrText xml:space="preserve"> PAGE </w:instrText>
                    </w:r>
                    <w:r>
                      <w:rPr>
                        <w:rStyle w:val="a4"/>
                      </w:rPr>
                      <w:fldChar w:fldCharType="separate"/>
                    </w:r>
                    <w:r>
                      <w:rPr>
                        <w:rStyle w:val="a4"/>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BB72" w14:textId="77777777" w:rsidR="006E24AD" w:rsidRDefault="006E24AD">
      <w:r>
        <w:rPr>
          <w:color w:val="000000"/>
        </w:rPr>
        <w:separator/>
      </w:r>
    </w:p>
  </w:footnote>
  <w:footnote w:type="continuationSeparator" w:id="0">
    <w:p w14:paraId="68B1D5FC" w14:textId="77777777" w:rsidR="006E24AD" w:rsidRDefault="006E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280"/>
    <w:multiLevelType w:val="multilevel"/>
    <w:tmpl w:val="8D382B7C"/>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15:restartNumberingAfterBreak="0">
    <w:nsid w:val="0BEE499E"/>
    <w:multiLevelType w:val="multilevel"/>
    <w:tmpl w:val="FB1E3FDC"/>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2C7E23A2"/>
    <w:multiLevelType w:val="multilevel"/>
    <w:tmpl w:val="81E477BC"/>
    <w:lvl w:ilvl="0">
      <w:start w:val="6"/>
      <w:numFmt w:val="taiwaneseCountingThousand"/>
      <w:lvlText w:val="%1、"/>
      <w:lvlJc w:val="left"/>
      <w:pPr>
        <w:ind w:left="718" w:hanging="480"/>
      </w:pPr>
      <w:rPr>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 w15:restartNumberingAfterBreak="0">
    <w:nsid w:val="4B1B02D6"/>
    <w:multiLevelType w:val="multilevel"/>
    <w:tmpl w:val="DC96E6C8"/>
    <w:lvl w:ilvl="0">
      <w:start w:val="1"/>
      <w:numFmt w:val="taiwaneseCountingThousand"/>
      <w:lvlText w:val="%1、"/>
      <w:lvlJc w:val="left"/>
      <w:pPr>
        <w:ind w:left="515" w:hanging="510"/>
      </w:pPr>
      <w:rPr>
        <w:b w:val="0"/>
        <w:color w:val="auto"/>
      </w:r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6899"/>
    <w:rsid w:val="006E24AD"/>
    <w:rsid w:val="009B6899"/>
    <w:rsid w:val="00E46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1EB9"/>
  <w15:docId w15:val="{72FF7768-B858-4C45-9D7A-5EE5612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pPr>
      <w:widowControl/>
      <w:spacing w:after="160" w:line="240" w:lineRule="exact"/>
    </w:pPr>
    <w:rPr>
      <w:rFonts w:ascii="Tahoma" w:hAnsi="Tahoma"/>
      <w:kern w:val="0"/>
      <w:sz w:val="20"/>
      <w:szCs w:val="20"/>
      <w:lang w:eastAsia="en-US"/>
    </w:rPr>
  </w:style>
  <w:style w:type="paragraph" w:customStyle="1" w:styleId="HTMLPreformatted1">
    <w:name w:val="HTML Preformatted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1224"/>
    </w:pPr>
    <w:rPr>
      <w:rFonts w:ascii="細明體" w:eastAsia="細明體" w:hAnsi="細明體" w:cs="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10">
    <w:name w:val="字元 字元 字元 字元 字元 字元 字元 字元1"/>
    <w:basedOn w:val="a"/>
    <w:pPr>
      <w:widowControl/>
      <w:spacing w:after="160" w:line="240" w:lineRule="exact"/>
    </w:pPr>
    <w:rPr>
      <w:rFonts w:ascii="Tahoma" w:hAnsi="Tahoma"/>
      <w:kern w:val="0"/>
      <w:sz w:val="20"/>
      <w:szCs w:val="20"/>
      <w:lang w:eastAsia="en-US"/>
    </w:rPr>
  </w:style>
  <w:style w:type="paragraph" w:styleId="a5">
    <w:name w:val="Balloon Text"/>
    <w:basedOn w:val="a"/>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1">
    <w:name w:val="字元 字元1"/>
    <w:basedOn w:val="a"/>
    <w:pPr>
      <w:widowControl/>
      <w:spacing w:after="160" w:line="240" w:lineRule="exact"/>
    </w:pPr>
    <w:rPr>
      <w:rFonts w:ascii="Tahoma" w:hAnsi="Tahoma" w:cs="Tahoma"/>
      <w:kern w:val="0"/>
      <w:sz w:val="20"/>
      <w:szCs w:val="20"/>
      <w:lang w:eastAsia="en-US"/>
    </w:rPr>
  </w:style>
  <w:style w:type="character" w:customStyle="1" w:styleId="st1">
    <w:name w:val="st1"/>
    <w:rPr>
      <w:color w:val="444444"/>
    </w:rPr>
  </w:style>
  <w:style w:type="paragraph" w:customStyle="1" w:styleId="a6">
    <w:name w:val="字元 字元 字元"/>
    <w:basedOn w:val="a"/>
    <w:pPr>
      <w:widowControl/>
      <w:spacing w:after="160" w:line="240" w:lineRule="exact"/>
    </w:pPr>
    <w:rPr>
      <w:rFonts w:ascii="Tahoma" w:hAnsi="Tahoma"/>
      <w:kern w:val="0"/>
      <w:sz w:val="20"/>
      <w:szCs w:val="20"/>
      <w:lang w:eastAsia="en-US"/>
    </w:rPr>
  </w:style>
  <w:style w:type="paragraph" w:styleId="a7">
    <w:name w:val="header"/>
    <w:basedOn w:val="a"/>
    <w:pPr>
      <w:tabs>
        <w:tab w:val="center" w:pos="4153"/>
        <w:tab w:val="right" w:pos="8306"/>
      </w:tabs>
      <w:snapToGrid w:val="0"/>
    </w:pPr>
    <w:rPr>
      <w:sz w:val="20"/>
      <w:szCs w:val="20"/>
    </w:rPr>
  </w:style>
  <w:style w:type="character" w:styleId="a8">
    <w:name w:val="Subtle Emphasis"/>
    <w:rPr>
      <w:i/>
      <w:iCs/>
      <w:color w:val="808080"/>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公務人員請假規則第三條、第八條、第十條修正草案條文對照表</dc:title>
  <dc:subject/>
  <dc:creator>B221306485</dc:creator>
  <cp:lastModifiedBy>user</cp:lastModifiedBy>
  <cp:revision>2</cp:revision>
  <cp:lastPrinted>2021-08-02T00:19:00Z</cp:lastPrinted>
  <dcterms:created xsi:type="dcterms:W3CDTF">2021-08-27T06:01:00Z</dcterms:created>
  <dcterms:modified xsi:type="dcterms:W3CDTF">2021-08-27T06:01:00Z</dcterms:modified>
</cp:coreProperties>
</file>