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3D69EF" w14:textId="6F807837" w:rsidR="00DB5695" w:rsidRDefault="00DB5695"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r w:rsidRPr="00DB5695">
        <w:rPr>
          <w:rFonts w:ascii="標楷體" w:eastAsia="標楷體" w:hAnsi="標楷體"/>
          <w:b/>
          <w:bCs/>
          <w:color w:val="000000" w:themeColor="text1"/>
          <w:sz w:val="32"/>
          <w:szCs w:val="32"/>
        </w:rPr>
        <w:t>臺南市</w:t>
      </w:r>
      <w:r w:rsidR="00951CF3">
        <w:rPr>
          <w:rFonts w:ascii="標楷體" w:eastAsia="標楷體" w:hAnsi="標楷體" w:hint="eastAsia"/>
          <w:b/>
          <w:bCs/>
          <w:color w:val="000000" w:themeColor="text1"/>
          <w:sz w:val="32"/>
          <w:szCs w:val="32"/>
        </w:rPr>
        <w:t>學甲</w:t>
      </w:r>
      <w:r w:rsidRPr="00DB5695">
        <w:rPr>
          <w:rFonts w:ascii="標楷體" w:eastAsia="標楷體" w:hAnsi="標楷體"/>
          <w:b/>
          <w:bCs/>
          <w:color w:val="000000" w:themeColor="text1"/>
          <w:sz w:val="32"/>
          <w:szCs w:val="32"/>
        </w:rPr>
        <w:t>區</w:t>
      </w:r>
      <w:r w:rsidR="00951CF3">
        <w:rPr>
          <w:rFonts w:ascii="標楷體" w:eastAsia="標楷體" w:hAnsi="標楷體" w:hint="eastAsia"/>
          <w:b/>
          <w:bCs/>
          <w:color w:val="000000" w:themeColor="text1"/>
          <w:sz w:val="32"/>
          <w:szCs w:val="32"/>
        </w:rPr>
        <w:t>頂洲</w:t>
      </w:r>
      <w:r w:rsidRPr="00DB5695">
        <w:rPr>
          <w:rFonts w:ascii="標楷體" w:eastAsia="標楷體" w:hAnsi="標楷體"/>
          <w:b/>
          <w:bCs/>
          <w:color w:val="000000" w:themeColor="text1"/>
          <w:sz w:val="32"/>
          <w:szCs w:val="32"/>
        </w:rPr>
        <w:t>國民小學</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14:paraId="0F15D43D" w14:textId="77777777"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r w:rsidR="008B67FA">
        <w:rPr>
          <w:rFonts w:eastAsia="標楷體" w:hAnsi="標楷體" w:hint="eastAsia"/>
          <w:b/>
          <w:bCs/>
          <w:color w:val="000000" w:themeColor="text1"/>
          <w:kern w:val="0"/>
          <w:sz w:val="32"/>
          <w:szCs w:val="32"/>
        </w:rPr>
        <w:t>(</w:t>
      </w:r>
      <w:r w:rsidR="008B67FA">
        <w:rPr>
          <w:rFonts w:eastAsia="標楷體" w:hAnsi="標楷體"/>
          <w:b/>
          <w:bCs/>
          <w:color w:val="000000" w:themeColor="text1"/>
          <w:kern w:val="0"/>
          <w:sz w:val="32"/>
          <w:szCs w:val="32"/>
        </w:rPr>
        <w:t>範本</w:t>
      </w:r>
      <w:r w:rsidR="008B67FA">
        <w:rPr>
          <w:rFonts w:eastAsia="標楷體" w:hAnsi="標楷體" w:hint="eastAsia"/>
          <w:b/>
          <w:bCs/>
          <w:color w:val="000000" w:themeColor="text1"/>
          <w:kern w:val="0"/>
          <w:sz w:val="32"/>
          <w:szCs w:val="32"/>
        </w:rPr>
        <w:t>)</w:t>
      </w:r>
    </w:p>
    <w:p w14:paraId="537BD68A" w14:textId="77777777"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14:paraId="50E256AE" w14:textId="77777777"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r w:rsidR="00FD3636" w:rsidRPr="00DB5695">
        <w:rPr>
          <w:rFonts w:ascii="Times New Roman" w:hAnsi="標楷體"/>
          <w:color w:val="000000" w:themeColor="text1"/>
          <w:szCs w:val="28"/>
          <w:u w:val="single"/>
        </w:rPr>
        <w:t>臺南市市有財產管理自治條例</w:t>
      </w:r>
      <w:r w:rsidR="00FD3636" w:rsidRPr="00997A4C">
        <w:rPr>
          <w:rFonts w:ascii="Times New Roman" w:hAnsi="標楷體"/>
          <w:color w:val="000000" w:themeColor="text1"/>
          <w:szCs w:val="28"/>
        </w:rPr>
        <w:t>、</w:t>
      </w:r>
      <w:r w:rsidR="00FD3636" w:rsidRPr="00DB5695">
        <w:rPr>
          <w:rFonts w:ascii="Times New Roman" w:hAnsi="標楷體"/>
          <w:color w:val="000000" w:themeColor="text1"/>
          <w:szCs w:val="28"/>
          <w:u w:val="single"/>
        </w:rPr>
        <w:t>臺南市市管公有房地設置太陽光電發電系統標租作業要點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r w:rsidR="00204E7B" w:rsidRPr="00DB5695">
        <w:rPr>
          <w:rFonts w:ascii="Times New Roman" w:hAnsi="標楷體"/>
          <w:color w:val="000000" w:themeColor="text1"/>
          <w:szCs w:val="28"/>
          <w:u w:val="single"/>
        </w:rPr>
        <w:t>臺南市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14:paraId="1624364B" w14:textId="77777777"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14:paraId="06439000" w14:textId="77777777"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14:paraId="68F7FEAE" w14:textId="77777777"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14:paraId="0CF23946"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系統設置容量：指欲裝設之太陽光電設施組列中所有模組額定功率（模組額定功率以模組標籤上標示之功率為憑）之總合。 </w:t>
      </w:r>
    </w:p>
    <w:p w14:paraId="438BE0A9"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14:paraId="68369001"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瓩（kW）：千瓦，發電設備容量的計算單位；1瓩=1000瓦（Watt）。 </w:t>
      </w:r>
    </w:p>
    <w:p w14:paraId="103F63B0"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峰瓩（kWp）：指太陽光電發電設備設置容量計算單位，為裝設之太陽光電模組於標準狀況（太陽能模組溫度攝氏25度，空氣大氣光程 A.M.1.5，太陽日照強度1000W/㎡）28 下的最大發電量總合。 </w:t>
      </w:r>
    </w:p>
    <w:p w14:paraId="6AE00AEF" w14:textId="77777777"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百萬峰瓦（MWp）：等同於1000峰瓩（10</w:t>
      </w:r>
      <w:r w:rsidRPr="00997A4C">
        <w:rPr>
          <w:rFonts w:hAnsi="標楷體"/>
          <w:color w:val="000000" w:themeColor="text1"/>
          <w:position w:val="12"/>
          <w:sz w:val="20"/>
        </w:rPr>
        <w:t>3</w:t>
      </w:r>
      <w:r w:rsidRPr="00997A4C">
        <w:rPr>
          <w:rFonts w:hAnsi="標楷體"/>
          <w:color w:val="000000" w:themeColor="text1"/>
          <w:szCs w:val="28"/>
        </w:rPr>
        <w:t xml:space="preserve">kWp）/峰瓩（kWp）：指裝設的太陽電池範本在標準狀況下（即範本溫度25℃、轉換轉換效率15%）：最大發電量總和。 </w:t>
      </w:r>
    </w:p>
    <w:p w14:paraId="30107547" w14:textId="78C99B89"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（kWp）</w:t>
      </w:r>
      <w:r w:rsidR="009B73FD" w:rsidRPr="00997A4C">
        <w:rPr>
          <w:rFonts w:hAnsi="標楷體"/>
          <w:color w:val="000000" w:themeColor="text1"/>
          <w:szCs w:val="28"/>
        </w:rPr>
        <w:t>以上</w:t>
      </w:r>
      <w:r w:rsidRPr="00997A4C">
        <w:rPr>
          <w:rFonts w:hAnsi="標楷體"/>
          <w:color w:val="000000" w:themeColor="text1"/>
          <w:szCs w:val="28"/>
        </w:rPr>
        <w:t>。</w:t>
      </w:r>
      <w:r w:rsidR="004C1DB7" w:rsidRPr="008B67FA">
        <w:rPr>
          <w:rFonts w:hAnsi="標楷體"/>
          <w:color w:val="FF0000"/>
          <w:szCs w:val="28"/>
        </w:rPr>
        <w:t>（基地面積為</w:t>
      </w:r>
      <w:r w:rsidR="00951CF3">
        <w:rPr>
          <w:rFonts w:hAnsi="標楷體"/>
          <w:color w:val="FF0000"/>
          <w:szCs w:val="28"/>
        </w:rPr>
        <w:t>2</w:t>
      </w:r>
      <w:r w:rsidR="00951CF3">
        <w:rPr>
          <w:rFonts w:hAnsi="標楷體" w:hint="default"/>
          <w:color w:val="FF0000"/>
          <w:szCs w:val="28"/>
        </w:rPr>
        <w:t>,</w:t>
      </w:r>
      <w:r w:rsidR="00951CF3">
        <w:rPr>
          <w:rFonts w:hAnsi="標楷體"/>
          <w:color w:val="FF0000"/>
          <w:szCs w:val="28"/>
        </w:rPr>
        <w:t>036</w:t>
      </w:r>
      <w:r w:rsidR="004C1DB7" w:rsidRPr="008B67FA">
        <w:rPr>
          <w:rFonts w:hAnsi="標楷體"/>
          <w:color w:val="FF0000"/>
          <w:szCs w:val="28"/>
        </w:rPr>
        <w:t>平方公尺，基本系統設置容量須達</w:t>
      </w:r>
      <w:r w:rsidR="00951CF3">
        <w:rPr>
          <w:rFonts w:hAnsi="標楷體" w:hint="default"/>
          <w:color w:val="FF0000"/>
          <w:szCs w:val="28"/>
        </w:rPr>
        <w:t>162.88</w:t>
      </w:r>
      <w:r w:rsidR="004C1DB7" w:rsidRPr="008B67FA">
        <w:rPr>
          <w:rFonts w:hAnsi="標楷體"/>
          <w:color w:val="FF0000"/>
          <w:szCs w:val="28"/>
        </w:rPr>
        <w:t>（kWp）以上）</w:t>
      </w:r>
      <w:r w:rsidR="004C1DB7" w:rsidRPr="00997A4C">
        <w:rPr>
          <w:rFonts w:hAnsi="標楷體"/>
          <w:color w:val="000000" w:themeColor="text1"/>
          <w:szCs w:val="28"/>
        </w:rPr>
        <w:t>。</w:t>
      </w:r>
      <w:r w:rsidRPr="00997A4C">
        <w:rPr>
          <w:rFonts w:hAnsi="標楷體"/>
          <w:color w:val="000000" w:themeColor="text1"/>
          <w:szCs w:val="28"/>
        </w:rPr>
        <w:t xml:space="preserve"> </w:t>
      </w:r>
    </w:p>
    <w:p w14:paraId="026FE16A" w14:textId="77777777"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14:paraId="192750F7" w14:textId="77777777"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本標租案業經本</w:t>
      </w:r>
      <w:r w:rsidRPr="00997A4C">
        <w:rPr>
          <w:rFonts w:hAnsi="標楷體"/>
          <w:color w:val="000000" w:themeColor="text1"/>
          <w:szCs w:val="28"/>
        </w:rPr>
        <w:t>府教育局</w:t>
      </w:r>
      <w:r>
        <w:rPr>
          <w:rFonts w:hAnsi="標楷體"/>
          <w:color w:val="000000" w:themeColor="text1"/>
          <w:szCs w:val="28"/>
        </w:rPr>
        <w:t>同意辦理。</w:t>
      </w:r>
    </w:p>
    <w:p w14:paraId="1459C2B7" w14:textId="77777777"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w:t>
      </w:r>
      <w:r w:rsidR="00A40BF5" w:rsidRPr="00997A4C">
        <w:rPr>
          <w:rFonts w:hAnsi="標楷體"/>
          <w:color w:val="000000" w:themeColor="text1"/>
          <w:szCs w:val="28"/>
        </w:rPr>
        <w:lastRenderedPageBreak/>
        <w:t xml:space="preserve">結契約者。 </w:t>
      </w:r>
    </w:p>
    <w:p w14:paraId="528FACB0"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r w:rsidRPr="00997A4C">
        <w:rPr>
          <w:rFonts w:hAnsi="標楷體"/>
          <w:color w:val="000000" w:themeColor="text1"/>
          <w:szCs w:val="28"/>
        </w:rPr>
        <w:t xml:space="preserve">採公開標租方式得出。 </w:t>
      </w:r>
    </w:p>
    <w:p w14:paraId="6CE0BD58"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14:paraId="04CCB7E8"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14:paraId="3CB7F827" w14:textId="77777777"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14:paraId="78B7C4D5" w14:textId="77777777"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14:paraId="3D072953" w14:textId="77777777"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請擇一勾選：</w:t>
      </w:r>
    </w:p>
    <w:p w14:paraId="56C91810" w14:textId="3939497F" w:rsidR="00B34BC9" w:rsidRPr="00B34BC9"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14:paraId="7BACFF84" w14:textId="797B02C3" w:rsidR="00B34BC9" w:rsidRPr="00B34BC9" w:rsidRDefault="002E54CB"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Pr>
          <w:rFonts w:ascii="細明體" w:eastAsia="細明體" w:hAnsi="細明體" w:cs="Times New Roman" w:hint="eastAsia"/>
          <w:color w:val="000000" w:themeColor="text1"/>
          <w:kern w:val="2"/>
          <w:sz w:val="28"/>
          <w:szCs w:val="28"/>
        </w:rPr>
        <w:t>■</w:t>
      </w:r>
      <w:r w:rsidR="00B34BC9" w:rsidRPr="00B34BC9">
        <w:rPr>
          <w:rFonts w:ascii="Times New Roman" w:eastAsia="標楷體" w:hAnsi="標楷體" w:cs="Times New Roman" w:hint="eastAsia"/>
          <w:color w:val="000000" w:themeColor="text1"/>
          <w:kern w:val="2"/>
          <w:sz w:val="28"/>
          <w:szCs w:val="28"/>
        </w:rPr>
        <w:t>2.</w:t>
      </w:r>
      <w:r w:rsidR="00B34BC9" w:rsidRPr="00B34BC9">
        <w:rPr>
          <w:rFonts w:ascii="Times New Roman" w:eastAsia="標楷體" w:hAnsi="標楷體" w:cs="Times New Roman" w:hint="eastAsia"/>
          <w:color w:val="000000" w:themeColor="text1"/>
          <w:kern w:val="2"/>
          <w:sz w:val="28"/>
          <w:szCs w:val="28"/>
        </w:rPr>
        <w:t>地面型太陽光電：建物由廠商興建後加裝太陽光電板</w:t>
      </w:r>
      <w:r w:rsidR="00B34BC9" w:rsidRPr="00B34BC9">
        <w:rPr>
          <w:rFonts w:ascii="Times New Roman" w:eastAsia="標楷體" w:hAnsi="標楷體" w:cs="Times New Roman" w:hint="eastAsia"/>
          <w:color w:val="FF0000"/>
          <w:kern w:val="2"/>
          <w:sz w:val="28"/>
          <w:szCs w:val="28"/>
        </w:rPr>
        <w:t>（本校</w:t>
      </w:r>
      <w:r>
        <w:rPr>
          <w:rFonts w:ascii="Times New Roman" w:eastAsia="標楷體" w:hAnsi="標楷體" w:cs="Times New Roman" w:hint="eastAsia"/>
          <w:color w:val="FF0000"/>
          <w:kern w:val="2"/>
          <w:sz w:val="28"/>
          <w:szCs w:val="28"/>
        </w:rPr>
        <w:t>司令台西側</w:t>
      </w:r>
      <w:r w:rsidR="004D0AC4">
        <w:rPr>
          <w:rFonts w:ascii="Times New Roman" w:eastAsia="標楷體" w:hAnsi="標楷體" w:cs="Times New Roman" w:hint="eastAsia"/>
          <w:color w:val="FF0000"/>
          <w:kern w:val="2"/>
          <w:sz w:val="28"/>
          <w:szCs w:val="28"/>
        </w:rPr>
        <w:t>2</w:t>
      </w:r>
      <w:r w:rsidR="004D0AC4">
        <w:rPr>
          <w:rFonts w:ascii="Times New Roman" w:eastAsia="標楷體" w:hAnsi="標楷體" w:cs="Times New Roman" w:hint="eastAsia"/>
          <w:color w:val="FF0000"/>
          <w:kern w:val="2"/>
          <w:sz w:val="28"/>
          <w:szCs w:val="28"/>
        </w:rPr>
        <w:t>面</w:t>
      </w:r>
      <w:r w:rsidR="00B34BC9" w:rsidRPr="00B34BC9">
        <w:rPr>
          <w:rFonts w:ascii="Times New Roman" w:eastAsia="標楷體" w:hAnsi="標楷體" w:cs="Times New Roman" w:hint="eastAsia"/>
          <w:color w:val="FF0000"/>
          <w:kern w:val="2"/>
          <w:sz w:val="28"/>
          <w:szCs w:val="28"/>
        </w:rPr>
        <w:t>籃球場，基地面積</w:t>
      </w:r>
      <w:r w:rsidR="00B34BC9" w:rsidRPr="00B34BC9">
        <w:rPr>
          <w:rFonts w:ascii="Times New Roman" w:eastAsia="標楷體" w:hAnsi="標楷體" w:cs="Times New Roman" w:hint="eastAsia"/>
          <w:color w:val="FF0000"/>
          <w:kern w:val="2"/>
          <w:sz w:val="28"/>
          <w:szCs w:val="28"/>
        </w:rPr>
        <w:t>1</w:t>
      </w:r>
      <w:r w:rsidR="00951CF3">
        <w:rPr>
          <w:rFonts w:ascii="Times New Roman" w:eastAsia="標楷體" w:hAnsi="標楷體" w:cs="Times New Roman"/>
          <w:color w:val="FF0000"/>
          <w:kern w:val="2"/>
          <w:sz w:val="28"/>
          <w:szCs w:val="28"/>
        </w:rPr>
        <w:t>,</w:t>
      </w:r>
      <w:r>
        <w:rPr>
          <w:rFonts w:ascii="Times New Roman" w:eastAsia="標楷體" w:hAnsi="標楷體" w:cs="Times New Roman" w:hint="eastAsia"/>
          <w:color w:val="FF0000"/>
          <w:kern w:val="2"/>
          <w:sz w:val="28"/>
          <w:szCs w:val="28"/>
        </w:rPr>
        <w:t>376</w:t>
      </w:r>
      <w:r w:rsidR="00B34BC9" w:rsidRPr="00B34BC9">
        <w:rPr>
          <w:rFonts w:ascii="Times New Roman" w:eastAsia="標楷體" w:hAnsi="標楷體" w:cs="Times New Roman"/>
          <w:color w:val="FF0000"/>
          <w:kern w:val="2"/>
          <w:sz w:val="28"/>
          <w:szCs w:val="28"/>
        </w:rPr>
        <w:t>平方公尺</w:t>
      </w:r>
      <w:r>
        <w:rPr>
          <w:rFonts w:ascii="Times New Roman" w:eastAsia="標楷體" w:hAnsi="標楷體" w:cs="Times New Roman" w:hint="eastAsia"/>
          <w:color w:val="FF0000"/>
          <w:kern w:val="2"/>
          <w:sz w:val="28"/>
          <w:szCs w:val="28"/>
        </w:rPr>
        <w:t>、本校南側遊戲區旁空地，基地面積</w:t>
      </w:r>
      <w:r>
        <w:rPr>
          <w:rFonts w:ascii="Times New Roman" w:eastAsia="標楷體" w:hAnsi="標楷體" w:cs="Times New Roman" w:hint="eastAsia"/>
          <w:color w:val="FF0000"/>
          <w:kern w:val="2"/>
          <w:sz w:val="28"/>
          <w:szCs w:val="28"/>
        </w:rPr>
        <w:t>660</w:t>
      </w:r>
      <w:r>
        <w:rPr>
          <w:rFonts w:ascii="Times New Roman" w:eastAsia="標楷體" w:hAnsi="標楷體" w:cs="Times New Roman" w:hint="eastAsia"/>
          <w:color w:val="FF0000"/>
          <w:kern w:val="2"/>
          <w:sz w:val="28"/>
          <w:szCs w:val="28"/>
        </w:rPr>
        <w:t>平方公尺</w:t>
      </w:r>
      <w:r w:rsidR="00B34BC9" w:rsidRPr="00B34BC9">
        <w:rPr>
          <w:rFonts w:ascii="Times New Roman" w:eastAsia="標楷體" w:hAnsi="標楷體" w:cs="Times New Roman" w:hint="eastAsia"/>
          <w:color w:val="FF0000"/>
          <w:kern w:val="2"/>
          <w:sz w:val="28"/>
          <w:szCs w:val="28"/>
        </w:rPr>
        <w:t>）</w:t>
      </w:r>
      <w:r w:rsidR="00B34BC9" w:rsidRPr="00B34BC9">
        <w:rPr>
          <w:rFonts w:ascii="Times New Roman" w:eastAsia="標楷體" w:hAnsi="標楷體" w:cs="Times New Roman" w:hint="eastAsia"/>
          <w:color w:val="000000" w:themeColor="text1"/>
          <w:kern w:val="2"/>
          <w:sz w:val="28"/>
          <w:szCs w:val="28"/>
        </w:rPr>
        <w:t>。</w:t>
      </w:r>
    </w:p>
    <w:p w14:paraId="66F3B896" w14:textId="6F3EB99B" w:rsidR="00386242" w:rsidRPr="00997A4C" w:rsidRDefault="00B34BC9" w:rsidP="002E54CB">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B34BC9">
        <w:rPr>
          <w:rFonts w:eastAsia="標楷體" w:hAnsi="標楷體" w:hint="eastAsia"/>
          <w:color w:val="000000" w:themeColor="text1"/>
          <w:sz w:val="28"/>
          <w:szCs w:val="28"/>
        </w:rPr>
        <w:sym w:font="Wingdings" w:char="F06F"/>
      </w:r>
      <w:r w:rsidRPr="00B34BC9">
        <w:rPr>
          <w:rFonts w:eastAsia="標楷體" w:hAnsi="標楷體" w:hint="eastAsia"/>
          <w:color w:val="000000" w:themeColor="text1"/>
          <w:sz w:val="28"/>
          <w:szCs w:val="28"/>
        </w:rPr>
        <w:t>3.</w:t>
      </w:r>
      <w:r w:rsidRPr="00B34BC9">
        <w:rPr>
          <w:rFonts w:eastAsia="標楷體" w:hAnsi="標楷體" w:hint="eastAsia"/>
          <w:color w:val="000000" w:themeColor="text1"/>
          <w:sz w:val="28"/>
          <w:szCs w:val="28"/>
        </w:rPr>
        <w:t>綜合型太陽光電：同時包含屋頂型及地面型</w:t>
      </w:r>
      <w:r w:rsidR="00634F29"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r w:rsidR="00F67529" w:rsidRPr="00997A4C">
        <w:rPr>
          <w:rFonts w:eastAsia="標楷體" w:hAnsi="標楷體" w:hint="eastAsia"/>
          <w:color w:val="000000" w:themeColor="text1"/>
          <w:sz w:val="28"/>
          <w:szCs w:val="28"/>
        </w:rPr>
        <w:t>臺南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14:paraId="2EFD4F06" w14:textId="77777777"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14:paraId="46CD6EAC" w14:textId="77777777"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lastRenderedPageBreak/>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14:paraId="521B9FFD" w14:textId="77777777"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14:paraId="08D58F25" w14:textId="3BB6CB88" w:rsidR="00961918"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出租期間各太陽光電發電設備運作產生之碳權或再生能源證明歸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14:paraId="2E2CED22" w14:textId="77777777" w:rsidR="00951CF3" w:rsidRPr="000A412E" w:rsidRDefault="00951CF3" w:rsidP="00951CF3">
      <w:pPr>
        <w:numPr>
          <w:ilvl w:val="0"/>
          <w:numId w:val="5"/>
        </w:numPr>
        <w:suppressAutoHyphens/>
        <w:autoSpaceDN w:val="0"/>
        <w:snapToGrid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風雨球場基座如施做球場上，施做完必須將破壞處依原有結構層與材質復原。</w:t>
      </w:r>
    </w:p>
    <w:p w14:paraId="3B583D1B" w14:textId="77777777" w:rsidR="00951CF3" w:rsidRPr="000A412E" w:rsidRDefault="00951CF3" w:rsidP="00951CF3">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原球場旁邊的樹本植栽學校同意由廠商移植或其他處理，費用由廠商自行負擔。</w:t>
      </w:r>
    </w:p>
    <w:p w14:paraId="6EAAEC02" w14:textId="28820C50" w:rsidR="00951CF3" w:rsidRPr="00C82DBC" w:rsidRDefault="00951CF3" w:rsidP="00951CF3">
      <w:pPr>
        <w:numPr>
          <w:ilvl w:val="0"/>
          <w:numId w:val="5"/>
        </w:numPr>
        <w:suppressAutoHyphens/>
        <w:autoSpaceDN w:val="0"/>
        <w:snapToGrid w:val="0"/>
        <w:spacing w:line="400" w:lineRule="exact"/>
        <w:jc w:val="both"/>
        <w:textAlignment w:val="baseline"/>
        <w:rPr>
          <w:rFonts w:eastAsia="標楷體" w:hAnsi="標楷體"/>
          <w:color w:val="000000" w:themeColor="text1"/>
          <w:sz w:val="28"/>
          <w:szCs w:val="28"/>
        </w:rPr>
      </w:pPr>
      <w:r w:rsidRPr="000A412E">
        <w:rPr>
          <w:rFonts w:eastAsia="標楷體" w:hAnsi="標楷體" w:hint="eastAsia"/>
          <w:color w:val="FF0000"/>
          <w:sz w:val="28"/>
          <w:szCs w:val="28"/>
        </w:rPr>
        <w:t>得標廠商興建建築圖說需與本校討論並審核通過。</w:t>
      </w:r>
    </w:p>
    <w:p w14:paraId="03E136F1" w14:textId="77777777"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14:paraId="72056D60" w14:textId="77777777"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14:paraId="729855F2" w14:textId="77777777" w:rsidR="00951CF3" w:rsidRPr="00CA2A82" w:rsidRDefault="004B499F" w:rsidP="00451BE9">
      <w:pPr>
        <w:numPr>
          <w:ilvl w:val="0"/>
          <w:numId w:val="23"/>
        </w:numPr>
        <w:suppressAutoHyphens/>
        <w:autoSpaceDN w:val="0"/>
        <w:snapToGrid w:val="0"/>
        <w:spacing w:line="440" w:lineRule="exact"/>
        <w:jc w:val="both"/>
        <w:textAlignment w:val="baseline"/>
        <w:rPr>
          <w:rFonts w:ascii="標楷體" w:eastAsia="標楷體" w:hAnsi="標楷體"/>
          <w:color w:val="000000" w:themeColor="text1"/>
          <w:sz w:val="28"/>
          <w:szCs w:val="28"/>
        </w:rPr>
      </w:pPr>
      <w:r w:rsidRPr="00951CF3">
        <w:rPr>
          <w:rFonts w:eastAsia="標楷體" w:hAnsi="標楷體"/>
          <w:color w:val="000000" w:themeColor="text1"/>
          <w:sz w:val="28"/>
          <w:szCs w:val="28"/>
        </w:rPr>
        <w:t>基本設備設置容量</w:t>
      </w:r>
      <w:r w:rsidR="00E674A7" w:rsidRPr="00951CF3">
        <w:rPr>
          <w:rFonts w:ascii="標楷體" w:eastAsia="標楷體" w:hAnsi="標楷體" w:hint="eastAsia"/>
          <w:color w:val="000000" w:themeColor="text1"/>
          <w:sz w:val="28"/>
          <w:szCs w:val="28"/>
        </w:rPr>
        <w:t>：</w:t>
      </w:r>
      <w:r w:rsidR="000D742B" w:rsidRPr="00CA2A82">
        <w:rPr>
          <w:rFonts w:ascii="標楷體" w:eastAsia="標楷體" w:hAnsi="標楷體"/>
          <w:color w:val="000000" w:themeColor="text1"/>
          <w:sz w:val="28"/>
          <w:szCs w:val="28"/>
        </w:rPr>
        <w:t>須達本案標的所載基地面積8%（kWp）以上。</w:t>
      </w:r>
      <w:r w:rsidR="00951CF3" w:rsidRPr="00CA2A82">
        <w:rPr>
          <w:rFonts w:ascii="標楷體" w:eastAsia="標楷體" w:hAnsi="標楷體"/>
          <w:color w:val="FF0000"/>
          <w:sz w:val="28"/>
          <w:szCs w:val="28"/>
        </w:rPr>
        <w:t>（基地面積為2,036平方公尺，基本系統設置容量須達162.88（kWp）以上）</w:t>
      </w:r>
      <w:r w:rsidR="00951CF3" w:rsidRPr="00CA2A82">
        <w:rPr>
          <w:rFonts w:ascii="標楷體" w:eastAsia="標楷體" w:hAnsi="標楷體"/>
          <w:color w:val="000000" w:themeColor="text1"/>
          <w:sz w:val="28"/>
          <w:szCs w:val="28"/>
        </w:rPr>
        <w:t>。</w:t>
      </w:r>
    </w:p>
    <w:p w14:paraId="5E3CCAC6" w14:textId="638EA68D" w:rsidR="00982517" w:rsidRPr="00951CF3" w:rsidRDefault="00961918" w:rsidP="00451BE9">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51CF3">
        <w:rPr>
          <w:rFonts w:eastAsia="標楷體" w:hAnsi="標楷體" w:hint="eastAsia"/>
          <w:color w:val="000000" w:themeColor="text1"/>
          <w:sz w:val="28"/>
          <w:szCs w:val="28"/>
        </w:rPr>
        <w:t>標租系統</w:t>
      </w:r>
      <w:r w:rsidR="00697D00" w:rsidRPr="00951CF3">
        <w:rPr>
          <w:rFonts w:eastAsia="標楷體" w:hAnsi="標楷體"/>
          <w:color w:val="000000" w:themeColor="text1"/>
          <w:sz w:val="28"/>
          <w:szCs w:val="28"/>
        </w:rPr>
        <w:t>設置容量：</w:t>
      </w:r>
      <w:r w:rsidR="00697D00" w:rsidRPr="00951CF3">
        <w:rPr>
          <w:rFonts w:eastAsia="標楷體" w:hAnsi="標楷體"/>
          <w:color w:val="000000" w:themeColor="text1"/>
          <w:sz w:val="28"/>
          <w:szCs w:val="28"/>
          <w:u w:val="single"/>
        </w:rPr>
        <w:t>本</w:t>
      </w:r>
      <w:r w:rsidR="00227DA9" w:rsidRPr="00951CF3">
        <w:rPr>
          <w:rFonts w:eastAsia="標楷體" w:hAnsi="標楷體"/>
          <w:color w:val="000000" w:themeColor="text1"/>
          <w:sz w:val="28"/>
          <w:szCs w:val="28"/>
          <w:u w:val="single"/>
        </w:rPr>
        <w:t>標單</w:t>
      </w:r>
      <w:r w:rsidR="00697D00" w:rsidRPr="00951CF3">
        <w:rPr>
          <w:rFonts w:eastAsia="標楷體" w:hAnsi="標楷體"/>
          <w:color w:val="000000" w:themeColor="text1"/>
          <w:sz w:val="28"/>
          <w:szCs w:val="28"/>
          <w:u w:val="single"/>
        </w:rPr>
        <w:t>上之</w:t>
      </w:r>
      <w:r w:rsidRPr="00951CF3">
        <w:rPr>
          <w:rFonts w:eastAsia="標楷體" w:hAnsi="標楷體" w:hint="eastAsia"/>
          <w:color w:val="000000" w:themeColor="text1"/>
          <w:sz w:val="28"/>
          <w:szCs w:val="28"/>
          <w:u w:val="single"/>
        </w:rPr>
        <w:t>標租系統</w:t>
      </w:r>
      <w:r w:rsidR="004B499F" w:rsidRPr="00951CF3">
        <w:rPr>
          <w:rFonts w:eastAsia="標楷體" w:hAnsi="標楷體"/>
          <w:color w:val="000000" w:themeColor="text1"/>
          <w:sz w:val="28"/>
          <w:szCs w:val="28"/>
          <w:u w:val="single"/>
        </w:rPr>
        <w:t>設置容量下限</w:t>
      </w:r>
      <w:r w:rsidR="00697D00" w:rsidRPr="00951CF3">
        <w:rPr>
          <w:rFonts w:eastAsia="標楷體" w:hAnsi="標楷體"/>
          <w:color w:val="000000" w:themeColor="text1"/>
          <w:sz w:val="28"/>
          <w:szCs w:val="28"/>
          <w:u w:val="single"/>
        </w:rPr>
        <w:t>容量</w:t>
      </w:r>
      <w:r w:rsidR="004B499F" w:rsidRPr="00951CF3">
        <w:rPr>
          <w:rFonts w:eastAsia="標楷體" w:hAnsi="標楷體"/>
          <w:color w:val="000000" w:themeColor="text1"/>
          <w:sz w:val="28"/>
          <w:szCs w:val="28"/>
          <w:u w:val="single"/>
        </w:rPr>
        <w:t>不低於基本設備設置容量，低於</w:t>
      </w:r>
      <w:r w:rsidR="007679B4" w:rsidRPr="00951CF3">
        <w:rPr>
          <w:rFonts w:eastAsia="標楷體" w:hAnsi="標楷體" w:hint="eastAsia"/>
          <w:color w:val="000000" w:themeColor="text1"/>
          <w:sz w:val="28"/>
          <w:szCs w:val="28"/>
          <w:u w:val="single"/>
        </w:rPr>
        <w:t>基本系統設置容量</w:t>
      </w:r>
      <w:r w:rsidR="004B499F" w:rsidRPr="00951CF3">
        <w:rPr>
          <w:rFonts w:eastAsia="標楷體" w:hAnsi="標楷體"/>
          <w:color w:val="000000" w:themeColor="text1"/>
          <w:sz w:val="28"/>
          <w:szCs w:val="28"/>
          <w:u w:val="single"/>
        </w:rPr>
        <w:t>下</w:t>
      </w:r>
      <w:r w:rsidR="00EB3050" w:rsidRPr="00951CF3">
        <w:rPr>
          <w:rFonts w:eastAsia="標楷體" w:hAnsi="標楷體" w:hint="eastAsia"/>
          <w:color w:val="000000" w:themeColor="text1"/>
          <w:sz w:val="28"/>
          <w:szCs w:val="28"/>
          <w:u w:val="single"/>
        </w:rPr>
        <w:t>限</w:t>
      </w:r>
      <w:r w:rsidR="007679B4" w:rsidRPr="00951CF3">
        <w:rPr>
          <w:rFonts w:eastAsia="標楷體" w:hAnsi="標楷體" w:hint="eastAsia"/>
          <w:color w:val="000000" w:themeColor="text1"/>
          <w:sz w:val="28"/>
          <w:szCs w:val="28"/>
          <w:u w:val="single"/>
        </w:rPr>
        <w:t>者</w:t>
      </w:r>
      <w:r w:rsidR="004B499F" w:rsidRPr="00951CF3">
        <w:rPr>
          <w:rFonts w:eastAsia="標楷體" w:hAnsi="標楷體"/>
          <w:color w:val="000000" w:themeColor="text1"/>
          <w:sz w:val="28"/>
          <w:szCs w:val="28"/>
          <w:u w:val="single"/>
        </w:rPr>
        <w:t>，視為無效標單</w:t>
      </w:r>
      <w:r w:rsidR="004B499F" w:rsidRPr="00951CF3">
        <w:rPr>
          <w:rFonts w:eastAsia="標楷體" w:hAnsi="標楷體"/>
          <w:color w:val="000000" w:themeColor="text1"/>
          <w:sz w:val="28"/>
          <w:szCs w:val="28"/>
        </w:rPr>
        <w:t>。</w:t>
      </w:r>
    </w:p>
    <w:p w14:paraId="5D3BFA46" w14:textId="77777777"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14:paraId="60FD424B" w14:textId="77777777"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擴充設備設置容量之和，為廠商應完成之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14:paraId="6EE5228A" w14:textId="77777777"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14:paraId="676B0C87" w14:textId="77777777"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951CF3">
        <w:rPr>
          <w:rFonts w:hAnsi="標楷體"/>
          <w:color w:val="000000" w:themeColor="text1"/>
          <w:szCs w:val="28"/>
        </w:rPr>
        <w:t>劃</w:t>
      </w:r>
      <w:r w:rsidRPr="00866A46">
        <w:rPr>
          <w:rFonts w:hAnsi="標楷體"/>
          <w:szCs w:val="28"/>
        </w:rPr>
        <w:t>書及報價參考最有利標精神擇符合需要者辦理議價，</w:t>
      </w:r>
      <w:r w:rsidRPr="00866A46">
        <w:rPr>
          <w:rFonts w:hAnsi="標楷體"/>
          <w:bCs/>
          <w:szCs w:val="28"/>
        </w:rPr>
        <w:t>採非固定價金，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14:paraId="10CC95C0" w14:textId="77777777"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14:paraId="1399A026" w14:textId="77777777"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14:paraId="07A18A87" w14:textId="603F4261"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之公司</w:t>
      </w:r>
      <w:r w:rsidR="0040154B" w:rsidRPr="00997A4C">
        <w:rPr>
          <w:rFonts w:eastAsia="標楷體" w:hAnsi="標楷體"/>
          <w:color w:val="000000" w:themeColor="text1"/>
          <w:sz w:val="28"/>
          <w:szCs w:val="28"/>
        </w:rPr>
        <w:t>且實收資本額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w:t>
      </w:r>
      <w:r w:rsidR="00BB565F" w:rsidRPr="00997A4C">
        <w:rPr>
          <w:rFonts w:eastAsia="標楷體" w:hAnsi="標楷體" w:hint="eastAsia"/>
          <w:color w:val="000000" w:themeColor="text1"/>
          <w:sz w:val="28"/>
          <w:szCs w:val="28"/>
        </w:rPr>
        <w:lastRenderedPageBreak/>
        <w:t>同）</w:t>
      </w:r>
      <w:r w:rsidR="0084331E">
        <w:rPr>
          <w:rFonts w:eastAsia="標楷體" w:hint="eastAsia"/>
          <w:color w:val="000000" w:themeColor="text1"/>
          <w:sz w:val="28"/>
          <w:szCs w:val="28"/>
        </w:rPr>
        <w:t>6</w:t>
      </w:r>
      <w:r w:rsidR="00C82DBC">
        <w:rPr>
          <w:rFonts w:eastAsia="標楷體"/>
          <w:color w:val="000000" w:themeColor="text1"/>
          <w:sz w:val="28"/>
          <w:szCs w:val="28"/>
        </w:rPr>
        <w:t>,</w:t>
      </w:r>
      <w:r w:rsidR="007D2580" w:rsidRPr="00997A4C">
        <w:rPr>
          <w:rFonts w:eastAsia="標楷體" w:hint="eastAsia"/>
          <w:color w:val="000000" w:themeColor="text1"/>
          <w:sz w:val="28"/>
          <w:szCs w:val="28"/>
        </w:rPr>
        <w:t>0</w:t>
      </w:r>
      <w:r w:rsidR="00C82DBC">
        <w:rPr>
          <w:rFonts w:eastAsia="標楷體" w:hint="eastAsia"/>
          <w:color w:val="000000" w:themeColor="text1"/>
          <w:sz w:val="28"/>
          <w:szCs w:val="28"/>
        </w:rPr>
        <w:t>0</w:t>
      </w:r>
      <w:r w:rsidR="007D2580" w:rsidRPr="00997A4C">
        <w:rPr>
          <w:rFonts w:eastAsia="標楷體" w:hint="eastAsia"/>
          <w:color w:val="000000" w:themeColor="text1"/>
          <w:sz w:val="28"/>
          <w:szCs w:val="28"/>
        </w:rPr>
        <w:t>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乙級以上電器承裝業（</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14:paraId="5B4C23C6" w14:textId="04B82C24"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C82DBC">
        <w:rPr>
          <w:rFonts w:eastAsia="標楷體" w:hAnsi="標楷體" w:hint="eastAsia"/>
          <w:color w:val="000000" w:themeColor="text1"/>
          <w:sz w:val="28"/>
          <w:szCs w:val="28"/>
        </w:rPr>
        <w:t>1</w:t>
      </w:r>
      <w:r w:rsidR="00D6083F" w:rsidRPr="00997A4C">
        <w:rPr>
          <w:rFonts w:eastAsia="標楷體" w:hint="eastAsia"/>
          <w:color w:val="000000" w:themeColor="text1"/>
          <w:sz w:val="28"/>
          <w:szCs w:val="28"/>
        </w:rPr>
        <w:t>5</w:t>
      </w:r>
      <w:r w:rsidR="00C82DBC">
        <w:rPr>
          <w:rFonts w:eastAsia="標楷體" w:hint="eastAsia"/>
          <w:color w:val="000000" w:themeColor="text1"/>
          <w:sz w:val="28"/>
          <w:szCs w:val="28"/>
        </w:rPr>
        <w:t>,</w:t>
      </w:r>
      <w:r w:rsidR="00C82DBC">
        <w:rPr>
          <w:rFonts w:eastAsia="標楷體"/>
          <w:color w:val="000000" w:themeColor="text1"/>
          <w:sz w:val="28"/>
          <w:szCs w:val="28"/>
        </w:rPr>
        <w:t>0</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峰瓩</w:t>
      </w:r>
      <w:r w:rsidRPr="00997A4C">
        <w:rPr>
          <w:rFonts w:eastAsia="標楷體"/>
          <w:color w:val="000000" w:themeColor="text1"/>
          <w:sz w:val="28"/>
          <w:szCs w:val="28"/>
        </w:rPr>
        <w:t>(kWp)</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再生能源躉購契約書頁面影本等相關證明文件。</w:t>
      </w:r>
      <w:r w:rsidR="00F17AD5" w:rsidRPr="00997A4C">
        <w:rPr>
          <w:rFonts w:eastAsia="標楷體" w:hAnsi="標楷體" w:hint="eastAsia"/>
          <w:color w:val="000000" w:themeColor="text1"/>
          <w:sz w:val="28"/>
          <w:szCs w:val="28"/>
        </w:rPr>
        <w:t>（如提供承攬合約證明視為無效）</w:t>
      </w:r>
    </w:p>
    <w:p w14:paraId="13054EC1" w14:textId="77777777"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14:paraId="4DAB0433" w14:textId="77777777"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14:paraId="34CCFA4F" w14:textId="77777777"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本標租案不允許共同投標。</w:t>
      </w:r>
    </w:p>
    <w:p w14:paraId="36AB841D" w14:textId="77777777"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14:paraId="6CF81716" w14:textId="77777777"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14:paraId="049A9CEF" w14:textId="77777777"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14:paraId="3A832CB4" w14:textId="77777777"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14:paraId="5556D1DA" w14:textId="77777777" w:rsidR="006A6920" w:rsidRPr="00997A4C" w:rsidRDefault="006A6920" w:rsidP="00277D36">
      <w:pPr>
        <w:numPr>
          <w:ilvl w:val="0"/>
          <w:numId w:val="2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14:paraId="7EBD7793"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台電併電後開始計算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即行終止，不另行通知；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w:t>
      </w:r>
      <w:r w:rsidRPr="00997A4C">
        <w:rPr>
          <w:rFonts w:eastAsia="標楷體" w:hAnsi="標楷體" w:hint="eastAsia"/>
          <w:color w:val="000000" w:themeColor="text1"/>
          <w:sz w:val="28"/>
          <w:szCs w:val="28"/>
        </w:rPr>
        <w:lastRenderedPageBreak/>
        <w:t>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提出換約續租申請；逾期未申請者，視為無意續租。承租廠商辦理續租申請時，應注意下列事項：</w:t>
      </w:r>
    </w:p>
    <w:p w14:paraId="45A14B5F"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14:paraId="57D556D9"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14:paraId="2E71ACC8"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經營年租金依</w:t>
      </w:r>
      <w:r w:rsidRPr="00075B78">
        <w:rPr>
          <w:rFonts w:eastAsia="標楷體" w:hAnsi="標楷體" w:hint="eastAsia"/>
          <w:bCs/>
          <w:color w:val="000000" w:themeColor="text1"/>
          <w:sz w:val="28"/>
          <w:szCs w:val="28"/>
        </w:rPr>
        <w:t>原售電回饋百分比計算，以作為續租條件。</w:t>
      </w:r>
    </w:p>
    <w:p w14:paraId="59FE485A"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之次日起算至</w:t>
      </w:r>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設備設置容量的認定為系統至少須完成併聯試運轉。未能依上述期間設置完成，每逾一日未完成應設置容量，按日收取懲罰性違約金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14:paraId="0B2A7A6B"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14:paraId="77A7068D" w14:textId="77777777"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5DB34B74"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14:paraId="42628146"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14:paraId="580635FE" w14:textId="77777777"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14:paraId="015229C5" w14:textId="77777777"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14:paraId="48190B89" w14:textId="31910890"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9A0C7E" w:rsidRPr="009A0C7E">
        <w:rPr>
          <w:rFonts w:eastAsia="標楷體" w:hAnsi="標楷體" w:hint="eastAsia"/>
          <w:color w:val="0000FF"/>
          <w:sz w:val="28"/>
          <w:szCs w:val="28"/>
          <w:u w:val="single"/>
        </w:rPr>
        <w:t>地面型</w:t>
      </w:r>
      <w:r w:rsidRPr="009A0C7E">
        <w:rPr>
          <w:rFonts w:eastAsia="標楷體" w:hAnsi="標楷體"/>
          <w:color w:val="0000FF"/>
          <w:sz w:val="28"/>
          <w:szCs w:val="28"/>
          <w:u w:val="single"/>
        </w:rPr>
        <w:t>不得低於</w:t>
      </w:r>
      <w:r w:rsidR="00D6083F" w:rsidRPr="009A0C7E">
        <w:rPr>
          <w:rFonts w:eastAsia="標楷體" w:hAnsi="標楷體" w:hint="eastAsia"/>
          <w:color w:val="0000FF"/>
          <w:sz w:val="28"/>
          <w:szCs w:val="28"/>
          <w:u w:val="single"/>
        </w:rPr>
        <w:t>0.5</w:t>
      </w:r>
      <w:r w:rsidRPr="009A0C7E">
        <w:rPr>
          <w:rFonts w:eastAsia="標楷體" w:hAnsi="標楷體"/>
          <w:color w:val="0000FF"/>
          <w:sz w:val="28"/>
          <w:szCs w:val="28"/>
          <w:u w:val="single"/>
        </w:rPr>
        <w:t>%</w:t>
      </w:r>
      <w:r w:rsidR="00CA2A82">
        <w:rPr>
          <w:rFonts w:eastAsia="標楷體" w:hAnsi="標楷體" w:hint="eastAsia"/>
          <w:color w:val="0000FF"/>
          <w:sz w:val="28"/>
          <w:szCs w:val="28"/>
          <w:u w:val="single"/>
        </w:rPr>
        <w:t>。</w:t>
      </w:r>
    </w:p>
    <w:p w14:paraId="03DC5D9E"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14:paraId="380022FB"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lastRenderedPageBreak/>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台電併電後開始計算</w:t>
      </w:r>
      <w:r w:rsidRPr="00997A4C">
        <w:rPr>
          <w:rFonts w:eastAsia="標楷體" w:hAnsi="標楷體"/>
          <w:color w:val="000000" w:themeColor="text1"/>
          <w:sz w:val="28"/>
          <w:szCs w:val="28"/>
        </w:rPr>
        <w:t>。</w:t>
      </w:r>
    </w:p>
    <w:p w14:paraId="784AD3F1"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14:paraId="69B1BFCE"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14:paraId="63183A65"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14:paraId="3385187F" w14:textId="77777777"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140997E1"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14:paraId="4F14611D"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14:paraId="5BDE6F39"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14:paraId="7F5DC7CD"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14:paraId="4BC70B78" w14:textId="77777777"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2E0FC825" w14:textId="77777777"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因可歸責乙方之事由，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(kWp)</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 xml:space="preserve">-(不可歸責之系統設置容量(kWp))-(實際系統設置容量(kWp)】x(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,000(元/kWp))</w:t>
      </w:r>
      <w:r w:rsidR="00030CB1" w:rsidRPr="00997A4C">
        <w:rPr>
          <w:rFonts w:ascii="標楷體" w:eastAsia="標楷體" w:hAnsi="標楷體" w:hint="eastAsia"/>
          <w:color w:val="000000" w:themeColor="text1"/>
          <w:kern w:val="0"/>
          <w:sz w:val="28"/>
          <w:szCs w:val="28"/>
        </w:rPr>
        <w:t>；擴充設備設置容量之懲罰性違約金計算準用之</w:t>
      </w:r>
      <w:r w:rsidR="00030CB1" w:rsidRPr="00997A4C">
        <w:rPr>
          <w:rFonts w:ascii="標楷體" w:eastAsia="標楷體" w:hAnsi="標楷體"/>
          <w:color w:val="000000" w:themeColor="text1"/>
          <w:kern w:val="0"/>
          <w:sz w:val="28"/>
          <w:szCs w:val="28"/>
        </w:rPr>
        <w:t>。</w:t>
      </w:r>
    </w:p>
    <w:p w14:paraId="2E7E0D35" w14:textId="77777777"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14:paraId="34CD74F5" w14:textId="77777777"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14:paraId="490CB884" w14:textId="77777777"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lastRenderedPageBreak/>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r w:rsidR="00377AB4" w:rsidRPr="00377AB4">
        <w:rPr>
          <w:rFonts w:ascii="標楷體" w:eastAsia="標楷體" w:hAnsi="標楷體" w:hint="eastAsia"/>
          <w:color w:val="000000" w:themeColor="text1"/>
          <w:sz w:val="28"/>
          <w:szCs w:val="28"/>
        </w:rPr>
        <w:t>結構柱高起算點為屋頂下緣起算7公尺為限，並符合現行建築法相關規定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14:paraId="080F6DCF" w14:textId="77777777" w:rsidR="006E33E3" w:rsidRPr="00CA2A82" w:rsidRDefault="00AA08F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CA2A82">
        <w:rPr>
          <w:rFonts w:ascii="標楷體" w:eastAsia="標楷體" w:hAnsi="標楷體" w:hint="eastAsia"/>
          <w:color w:val="000000" w:themeColor="text1"/>
          <w:sz w:val="28"/>
          <w:szCs w:val="28"/>
        </w:rPr>
        <w:t>綜合</w:t>
      </w:r>
      <w:r w:rsidR="006E33E3" w:rsidRPr="00CA2A82">
        <w:rPr>
          <w:rFonts w:ascii="標楷體" w:eastAsia="標楷體" w:hAnsi="標楷體" w:hint="eastAsia"/>
          <w:color w:val="000000" w:themeColor="text1"/>
          <w:sz w:val="28"/>
          <w:szCs w:val="28"/>
        </w:rPr>
        <w:t>型：</w:t>
      </w:r>
      <w:r w:rsidR="006E33E3" w:rsidRPr="00CA2A82">
        <w:rPr>
          <w:rFonts w:ascii="標楷體" w:eastAsia="標楷體" w:hAnsi="標楷體" w:cs="新細明體;PMingLiU" w:hint="eastAsia"/>
          <w:bCs/>
          <w:color w:val="000000" w:themeColor="text1"/>
          <w:sz w:val="28"/>
          <w:szCs w:val="28"/>
        </w:rPr>
        <w:t>同時包含屋頂型及地面型。</w:t>
      </w:r>
    </w:p>
    <w:p w14:paraId="52F4471C" w14:textId="77777777" w:rsidR="00B1027C" w:rsidRPr="00CA2A82"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CA2A82">
        <w:rPr>
          <w:rFonts w:eastAsia="標楷體" w:hAnsi="標楷體" w:hint="eastAsia"/>
          <w:color w:val="000000" w:themeColor="text1"/>
          <w:sz w:val="28"/>
          <w:szCs w:val="28"/>
        </w:rPr>
        <w:t>興建</w:t>
      </w:r>
      <w:r w:rsidR="00377A0D" w:rsidRPr="00CA2A82">
        <w:rPr>
          <w:rFonts w:eastAsia="標楷體" w:hAnsi="標楷體" w:hint="eastAsia"/>
          <w:color w:val="000000" w:themeColor="text1"/>
          <w:sz w:val="28"/>
          <w:szCs w:val="28"/>
        </w:rPr>
        <w:t>太陽能光電設施</w:t>
      </w:r>
      <w:r w:rsidR="00B1027C" w:rsidRPr="00CA2A82">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sidRPr="00CA2A82">
        <w:rPr>
          <w:rFonts w:ascii="標楷體" w:eastAsia="標楷體" w:hAnsi="標楷體" w:hint="eastAsia"/>
          <w:color w:val="000000" w:themeColor="text1"/>
          <w:sz w:val="28"/>
          <w:szCs w:val="28"/>
        </w:rPr>
        <w:t>以先施作</w:t>
      </w:r>
      <w:r w:rsidR="00674465" w:rsidRPr="00CA2A82">
        <w:rPr>
          <w:rFonts w:ascii="標楷體" w:eastAsia="標楷體" w:hAnsi="標楷體" w:hint="eastAsia"/>
          <w:color w:val="000000" w:themeColor="text1"/>
          <w:sz w:val="28"/>
          <w:szCs w:val="28"/>
        </w:rPr>
        <w:t>鍍鋅鋼板</w:t>
      </w:r>
      <w:r w:rsidR="009A7519" w:rsidRPr="00CA2A82">
        <w:rPr>
          <w:rFonts w:ascii="標楷體" w:eastAsia="標楷體" w:hAnsi="標楷體" w:hint="eastAsia"/>
          <w:color w:val="000000" w:themeColor="text1"/>
          <w:sz w:val="28"/>
          <w:szCs w:val="28"/>
        </w:rPr>
        <w:t>等</w:t>
      </w:r>
      <w:r w:rsidR="006E33E3" w:rsidRPr="00CA2A82">
        <w:rPr>
          <w:rFonts w:ascii="標楷體" w:eastAsia="標楷體" w:hAnsi="標楷體" w:hint="eastAsia"/>
          <w:color w:val="000000" w:themeColor="text1"/>
          <w:sz w:val="28"/>
          <w:szCs w:val="28"/>
        </w:rPr>
        <w:t>屋頂後再裝設太陽能光電板為佳（非強制，但</w:t>
      </w:r>
      <w:r w:rsidR="00AA08F7" w:rsidRPr="00CA2A82">
        <w:rPr>
          <w:rFonts w:ascii="標楷體" w:eastAsia="標楷體" w:hAnsi="標楷體" w:hint="eastAsia"/>
          <w:color w:val="000000" w:themeColor="text1"/>
          <w:sz w:val="28"/>
          <w:szCs w:val="28"/>
        </w:rPr>
        <w:t>工法</w:t>
      </w:r>
      <w:r w:rsidR="006E33E3" w:rsidRPr="00CA2A82">
        <w:rPr>
          <w:rFonts w:ascii="標楷體" w:eastAsia="標楷體" w:hAnsi="標楷體" w:hint="eastAsia"/>
          <w:color w:val="000000" w:themeColor="text1"/>
          <w:sz w:val="28"/>
          <w:szCs w:val="28"/>
        </w:rPr>
        <w:t>納入評分，請</w:t>
      </w:r>
      <w:r w:rsidR="00AA08F7" w:rsidRPr="00CA2A82">
        <w:rPr>
          <w:rFonts w:ascii="標楷體" w:eastAsia="標楷體" w:hAnsi="標楷體" w:hint="eastAsia"/>
          <w:color w:val="000000" w:themeColor="text1"/>
          <w:sz w:val="28"/>
          <w:szCs w:val="28"/>
        </w:rPr>
        <w:t>投標廠商</w:t>
      </w:r>
      <w:r w:rsidR="006E33E3" w:rsidRPr="00CA2A82">
        <w:rPr>
          <w:rFonts w:ascii="標楷體" w:eastAsia="標楷體" w:hAnsi="標楷體" w:hint="eastAsia"/>
          <w:color w:val="000000" w:themeColor="text1"/>
          <w:sz w:val="28"/>
          <w:szCs w:val="28"/>
        </w:rPr>
        <w:t>敘明是否施作</w:t>
      </w:r>
      <w:r w:rsidR="00674465" w:rsidRPr="00CA2A82">
        <w:rPr>
          <w:rFonts w:ascii="標楷體" w:eastAsia="標楷體" w:hAnsi="標楷體" w:hint="eastAsia"/>
          <w:color w:val="000000" w:themeColor="text1"/>
          <w:sz w:val="28"/>
          <w:szCs w:val="28"/>
        </w:rPr>
        <w:t>鍍鋅鋼板</w:t>
      </w:r>
      <w:r w:rsidR="00757DEB" w:rsidRPr="00CA2A82">
        <w:rPr>
          <w:rFonts w:ascii="標楷體" w:eastAsia="標楷體" w:hAnsi="標楷體" w:hint="eastAsia"/>
          <w:color w:val="000000" w:themeColor="text1"/>
          <w:sz w:val="28"/>
          <w:szCs w:val="28"/>
        </w:rPr>
        <w:t>等</w:t>
      </w:r>
      <w:r w:rsidR="006E33E3" w:rsidRPr="00CA2A82">
        <w:rPr>
          <w:rFonts w:ascii="標楷體" w:eastAsia="標楷體" w:hAnsi="標楷體" w:hint="eastAsia"/>
          <w:color w:val="000000" w:themeColor="text1"/>
          <w:sz w:val="28"/>
          <w:szCs w:val="28"/>
        </w:rPr>
        <w:t>屋頂）</w:t>
      </w:r>
      <w:r w:rsidR="00B1027C" w:rsidRPr="00CA2A82">
        <w:rPr>
          <w:rFonts w:eastAsia="標楷體" w:hAnsi="標楷體" w:hint="eastAsia"/>
          <w:color w:val="000000" w:themeColor="text1"/>
          <w:sz w:val="28"/>
          <w:szCs w:val="28"/>
        </w:rPr>
        <w:t>。</w:t>
      </w:r>
    </w:p>
    <w:p w14:paraId="0058DDC2" w14:textId="77777777"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14:paraId="6C40141F" w14:textId="3144F327"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本標租案相關投標文件將公告於</w:t>
      </w:r>
      <w:r w:rsidR="00B34BC9">
        <w:rPr>
          <w:rFonts w:eastAsia="標楷體" w:hAnsi="標楷體" w:hint="eastAsia"/>
          <w:color w:val="000000" w:themeColor="text1"/>
          <w:sz w:val="28"/>
          <w:szCs w:val="32"/>
        </w:rPr>
        <w:t>本校</w:t>
      </w:r>
      <w:r w:rsidR="00E73CE3">
        <w:rPr>
          <w:rFonts w:eastAsia="標楷體" w:hAnsi="標楷體" w:hint="eastAsia"/>
          <w:color w:val="000000" w:themeColor="text1"/>
          <w:sz w:val="28"/>
          <w:szCs w:val="32"/>
        </w:rPr>
        <w:t>網站</w:t>
      </w:r>
      <w:r w:rsidR="00E73CE3">
        <w:rPr>
          <w:rFonts w:eastAsia="標楷體" w:hAnsi="標楷體" w:hint="eastAsia"/>
          <w:color w:val="000000" w:themeColor="text1"/>
          <w:sz w:val="28"/>
          <w:szCs w:val="32"/>
        </w:rPr>
        <w:t>(</w:t>
      </w:r>
      <w:r w:rsidR="00E73CE3" w:rsidRPr="00E73CE3">
        <w:rPr>
          <w:rFonts w:eastAsia="標楷體" w:hAnsi="標楷體"/>
          <w:color w:val="000000" w:themeColor="text1"/>
          <w:sz w:val="28"/>
          <w:szCs w:val="32"/>
        </w:rPr>
        <w:t>http://www.djues.tn.edu.tw/</w:t>
      </w:r>
      <w:r w:rsidR="00E73CE3">
        <w:rPr>
          <w:rFonts w:eastAsia="標楷體" w:hAnsi="標楷體" w:hint="eastAsia"/>
          <w:color w:val="000000" w:themeColor="text1"/>
          <w:sz w:val="28"/>
          <w:szCs w:val="32"/>
        </w:rPr>
        <w:t>)</w:t>
      </w:r>
      <w:r w:rsidR="00E73CE3">
        <w:rPr>
          <w:rFonts w:eastAsia="標楷體" w:hAnsi="標楷體" w:hint="eastAsia"/>
          <w:color w:val="000000" w:themeColor="text1"/>
          <w:sz w:val="28"/>
          <w:szCs w:val="32"/>
        </w:rPr>
        <w:t>及臺南市政府教育局</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14:paraId="7150CF63" w14:textId="77777777"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14:paraId="4431075E" w14:textId="77777777"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14:paraId="27F48B79"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14:paraId="6B977121"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14:paraId="2BDBE677"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14:paraId="2E25373A" w14:textId="77777777"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14:paraId="64C4774C" w14:textId="77777777"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14:paraId="60218689"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14:paraId="01330D24"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14:paraId="1E8BC99D"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14:paraId="73C253F7"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，各階段之投標文件應分別密封後，再以大封套合併裝封。外封套外部須書明投標廠商名稱、地址及採購案號或投標標的。投標文件須於投標截止期限前，以郵遞或專人寄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14:paraId="011C1E76" w14:textId="77777777"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14:paraId="2EC94A25" w14:textId="77777777"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14:paraId="7B2E2689" w14:textId="77777777"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投標應備文件包括下列各項，投標前應逐一填妥簽章，密封後投標，封套外部須書明投標廠商名稱、住址、標租標的，凡投標文件不齊全者或未按規定者，所投之標為無效標。</w:t>
      </w:r>
    </w:p>
    <w:p w14:paraId="34894AD9"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12092673"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0414C56D"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2BE68A31"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465037FE"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退還押標金申請書：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0E80DBF9"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0083AAFD"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564362FB" w14:textId="77777777"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14:paraId="7239246D" w14:textId="77777777"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14:paraId="15376ED3"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14:paraId="0AA346A2" w14:textId="77777777"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14:paraId="34D96E3F" w14:textId="77777777"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w:t>
      </w:r>
      <w:r w:rsidRPr="00CA2A82">
        <w:rPr>
          <w:rFonts w:ascii="Times New Roman" w:hAnsi="標楷體" w:hint="default"/>
          <w:color w:val="000000" w:themeColor="text1"/>
          <w:szCs w:val="28"/>
        </w:rPr>
        <w:t>標後</w:t>
      </w:r>
      <w:r w:rsidR="00CE2E38" w:rsidRPr="00CA2A82">
        <w:rPr>
          <w:rFonts w:ascii="Times New Roman" w:hAnsi="標楷體"/>
          <w:color w:val="000000" w:themeColor="text1"/>
          <w:szCs w:val="28"/>
        </w:rPr>
        <w:t>九</w:t>
      </w:r>
      <w:r w:rsidR="00031EFF" w:rsidRPr="00CA2A82">
        <w:rPr>
          <w:rFonts w:ascii="Times New Roman" w:hAnsi="標楷體" w:hint="default"/>
          <w:color w:val="000000" w:themeColor="text1"/>
          <w:szCs w:val="28"/>
        </w:rPr>
        <w:t>十日</w:t>
      </w:r>
      <w:r w:rsidR="00031EFF" w:rsidRPr="00997A4C">
        <w:rPr>
          <w:rFonts w:ascii="Times New Roman" w:hAnsi="標楷體" w:hint="default"/>
          <w:color w:val="000000" w:themeColor="text1"/>
          <w:szCs w:val="28"/>
        </w:rPr>
        <w:t>止，如機關無法於前開有效期內決標，得於必要時洽請</w:t>
      </w:r>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14:paraId="146745F9" w14:textId="77777777"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14:paraId="58F42830" w14:textId="77777777"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14:paraId="29B6A543" w14:textId="77777777"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以下任繳一種：公司登記或商業登記證明文件、公司變更登記表、公司登記證明書或列印公開於目的事業主管機關網站之最新資料代之。另按經濟部公告「營利事業登記證」自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w:t>
      </w:r>
      <w:r w:rsidRPr="00997A4C">
        <w:rPr>
          <w:rFonts w:eastAsia="標楷體" w:hAnsi="標楷體"/>
          <w:color w:val="000000" w:themeColor="text1"/>
          <w:sz w:val="28"/>
          <w:szCs w:val="28"/>
        </w:rPr>
        <w:lastRenderedPageBreak/>
        <w:t>文件，投標廠商請勿檢附；若為法人應檢具登記證明文件及代表人之資格證明文件。</w:t>
      </w:r>
    </w:p>
    <w:p w14:paraId="5EEEBD6D" w14:textId="77777777"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登記營業項目須有電器承裝業（</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需檢附乙級以上電器承裝業登記執照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14:paraId="07E5E062" w14:textId="77777777"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14:paraId="18DDC4A7" w14:textId="77777777"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最近一期之營業稅繳款書收據聯或主管稽徵機關核章之最近一期營業人銷售額與稅額申報書收執聯。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
    <w:p w14:paraId="0ECE053A" w14:textId="77777777"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新設立且未屆第一期營業稅繳納期限者，得以營業稅主管稽徵機關核發之核准設立登記</w:t>
      </w:r>
      <w:r w:rsidR="00C1438B" w:rsidRPr="00997A4C">
        <w:rPr>
          <w:rFonts w:eastAsia="標楷體" w:hAnsi="標楷體"/>
          <w:color w:val="000000" w:themeColor="text1"/>
          <w:sz w:val="28"/>
          <w:szCs w:val="28"/>
        </w:rPr>
        <w:t>公函代之；經核定使用統一發票者，應一併檢附</w:t>
      </w:r>
      <w:r w:rsidRPr="00997A4C">
        <w:rPr>
          <w:rFonts w:eastAsia="標楷體" w:hAnsi="標楷體"/>
          <w:color w:val="000000" w:themeColor="text1"/>
          <w:sz w:val="28"/>
          <w:szCs w:val="28"/>
        </w:rPr>
        <w:t>申領統一發票購票證相關文件代之。</w:t>
      </w:r>
    </w:p>
    <w:p w14:paraId="10AB2B49" w14:textId="77777777"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標租案投標截止日前，皆未遇到營業稅申報截止日時，以營業稅主管稽徵機關核發之核准設立登記公函代之；經核定使用統一發票者，應一併檢附申領統一發票購票證相關文件。</w:t>
      </w:r>
    </w:p>
    <w:p w14:paraId="11A83F41" w14:textId="77777777"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若投標人最近一期無應納營業稅時，該完稅證明文件為營業稅主管稽徵機關核章之「營業人銷售額與稅額申報收執聯」。</w:t>
      </w:r>
    </w:p>
    <w:p w14:paraId="7E8F48C5" w14:textId="77777777"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最近三年內無退票紀錄證明文件。（由票據交換所或受理查詢金融機構出具之票據信用查覆單，應加蓋查覆單位、單位有權人員及經辦員圖章者，始可作為證明之文件）。</w:t>
      </w:r>
    </w:p>
    <w:p w14:paraId="59E7BB8E" w14:textId="77777777"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外國廠商提出之資格文件，應附經公證或認證之中文譯本，如外國廠商依該國情形提出有困難者，得於申請文件內敘明其情形或以其所具有之相當資格代之。</w:t>
      </w:r>
    </w:p>
    <w:p w14:paraId="2A131885" w14:textId="5CDFD46E"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w:t>
      </w:r>
      <w:r w:rsidRPr="00997A4C">
        <w:rPr>
          <w:rFonts w:eastAsia="標楷體" w:hAnsi="標楷體"/>
          <w:color w:val="000000" w:themeColor="text1"/>
          <w:sz w:val="28"/>
          <w:szCs w:val="28"/>
        </w:rPr>
        <w:lastRenderedPageBreak/>
        <w:t>實績累積需達</w:t>
      </w:r>
      <w:r w:rsidR="00C82DBC">
        <w:rPr>
          <w:rFonts w:eastAsia="標楷體" w:hAnsi="標楷體" w:hint="eastAsia"/>
          <w:color w:val="000000" w:themeColor="text1"/>
          <w:sz w:val="28"/>
          <w:szCs w:val="28"/>
        </w:rPr>
        <w:t>1</w:t>
      </w:r>
      <w:r w:rsidRPr="00997A4C">
        <w:rPr>
          <w:rFonts w:eastAsia="標楷體" w:hint="eastAsia"/>
          <w:color w:val="000000" w:themeColor="text1"/>
          <w:sz w:val="28"/>
          <w:szCs w:val="28"/>
        </w:rPr>
        <w:t>5</w:t>
      </w:r>
      <w:r w:rsidR="00C82DBC">
        <w:rPr>
          <w:rFonts w:eastAsia="標楷體"/>
          <w:color w:val="000000" w:themeColor="text1"/>
          <w:sz w:val="28"/>
          <w:szCs w:val="28"/>
        </w:rPr>
        <w:t>,</w:t>
      </w:r>
      <w:r w:rsidR="00C82DBC">
        <w:rPr>
          <w:rFonts w:eastAsia="標楷體" w:hint="eastAsia"/>
          <w:color w:val="000000" w:themeColor="text1"/>
          <w:sz w:val="28"/>
          <w:szCs w:val="28"/>
        </w:rPr>
        <w:t>0</w:t>
      </w:r>
      <w:r w:rsidRPr="00997A4C">
        <w:rPr>
          <w:rFonts w:eastAsia="標楷體" w:hint="eastAsia"/>
          <w:color w:val="000000" w:themeColor="text1"/>
          <w:sz w:val="28"/>
          <w:szCs w:val="28"/>
        </w:rPr>
        <w:t>00</w:t>
      </w:r>
      <w:r w:rsidRPr="00997A4C">
        <w:rPr>
          <w:rFonts w:eastAsia="標楷體" w:hAnsi="標楷體"/>
          <w:color w:val="000000" w:themeColor="text1"/>
          <w:sz w:val="28"/>
          <w:szCs w:val="28"/>
        </w:rPr>
        <w:t>峰瓩</w:t>
      </w:r>
      <w:r w:rsidRPr="00997A4C">
        <w:rPr>
          <w:rFonts w:eastAsia="標楷體"/>
          <w:color w:val="000000" w:themeColor="text1"/>
          <w:sz w:val="28"/>
          <w:szCs w:val="28"/>
        </w:rPr>
        <w:t>(kWp)</w:t>
      </w:r>
      <w:r w:rsidRPr="00997A4C">
        <w:rPr>
          <w:rFonts w:eastAsia="標楷體" w:hAnsi="標楷體"/>
          <w:color w:val="000000" w:themeColor="text1"/>
          <w:sz w:val="28"/>
          <w:szCs w:val="28"/>
        </w:rPr>
        <w:t>以上。以提供台灣電力股份有限公司或國外再生能源躉購契約書頁面影本等相關證明文件。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14:paraId="39A0694E" w14:textId="77777777"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決標予該廠商；決標後發現得標廠商於決標前有前揭情形者，應撤銷決標。但撤銷決標反不符公共利益，並經上級機關核准者，不在此限。另機關撤銷決標者，契約視為自始無效，並準用解除契約或終止契約之規定。</w:t>
      </w:r>
    </w:p>
    <w:p w14:paraId="59F497A5" w14:textId="77777777"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14:paraId="176A8BA1" w14:textId="56EB42B5"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Pr="00997A4C">
        <w:rPr>
          <w:rFonts w:eastAsia="標楷體" w:hAnsi="標楷體" w:hint="eastAsia"/>
          <w:color w:val="000000" w:themeColor="text1"/>
          <w:sz w:val="28"/>
          <w:szCs w:val="32"/>
        </w:rPr>
        <w:t>（民國</w:t>
      </w:r>
      <w:r w:rsidR="0050218F" w:rsidRPr="0050218F">
        <w:rPr>
          <w:rFonts w:eastAsia="標楷體" w:hAnsi="標楷體"/>
          <w:color w:val="000000" w:themeColor="text1"/>
          <w:sz w:val="28"/>
          <w:szCs w:val="32"/>
          <w:highlight w:val="yellow"/>
        </w:rPr>
        <w:t>109</w:t>
      </w:r>
      <w:r w:rsidRPr="00997A4C">
        <w:rPr>
          <w:rFonts w:eastAsia="標楷體" w:hAnsi="標楷體"/>
          <w:color w:val="000000" w:themeColor="text1"/>
          <w:sz w:val="28"/>
          <w:szCs w:val="32"/>
        </w:rPr>
        <w:t>年</w:t>
      </w:r>
      <w:r w:rsidR="0050218F" w:rsidRPr="0050218F">
        <w:rPr>
          <w:rFonts w:eastAsia="標楷體" w:hAnsi="標楷體"/>
          <w:color w:val="000000" w:themeColor="text1"/>
          <w:sz w:val="28"/>
          <w:szCs w:val="32"/>
          <w:highlight w:val="yellow"/>
        </w:rPr>
        <w:t>12</w:t>
      </w:r>
      <w:r w:rsidRPr="00997A4C">
        <w:rPr>
          <w:rFonts w:eastAsia="標楷體" w:hAnsi="標楷體"/>
          <w:color w:val="000000" w:themeColor="text1"/>
          <w:sz w:val="28"/>
          <w:szCs w:val="32"/>
        </w:rPr>
        <w:t>月</w:t>
      </w:r>
      <w:r w:rsidR="0050218F">
        <w:rPr>
          <w:rFonts w:eastAsia="標楷體" w:hAnsi="標楷體" w:hint="eastAsia"/>
          <w:color w:val="000000" w:themeColor="text1"/>
          <w:sz w:val="28"/>
          <w:szCs w:val="32"/>
          <w:highlight w:val="yellow"/>
        </w:rPr>
        <w:t>7</w:t>
      </w:r>
      <w:r w:rsidRPr="00997A4C">
        <w:rPr>
          <w:rFonts w:eastAsia="標楷體" w:hAnsi="標楷體"/>
          <w:color w:val="000000" w:themeColor="text1"/>
          <w:sz w:val="28"/>
          <w:szCs w:val="32"/>
        </w:rPr>
        <w:t>日下午</w:t>
      </w:r>
      <w:r w:rsidR="0033546C">
        <w:rPr>
          <w:rFonts w:eastAsia="標楷體" w:hAnsi="標楷體"/>
          <w:color w:val="000000" w:themeColor="text1"/>
          <w:sz w:val="28"/>
          <w:szCs w:val="32"/>
        </w:rPr>
        <w:t>5</w:t>
      </w:r>
      <w:r w:rsidRPr="00997A4C">
        <w:rPr>
          <w:rFonts w:eastAsia="標楷體" w:hAnsi="標楷體"/>
          <w:color w:val="000000" w:themeColor="text1"/>
          <w:sz w:val="28"/>
          <w:szCs w:val="32"/>
        </w:rPr>
        <w:t>時</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CA2A82">
        <w:rPr>
          <w:color w:val="000000"/>
          <w:sz w:val="27"/>
          <w:szCs w:val="27"/>
        </w:rPr>
        <w:t> </w:t>
      </w:r>
      <w:r w:rsidR="00CA2A82">
        <w:rPr>
          <w:rFonts w:ascii="標楷體" w:eastAsia="標楷體" w:hAnsi="標楷體" w:hint="eastAsia"/>
          <w:color w:val="000000" w:themeColor="text1"/>
          <w:sz w:val="28"/>
          <w:szCs w:val="32"/>
          <w:highlight w:val="yellow"/>
        </w:rPr>
        <w:t>726</w:t>
      </w:r>
      <w:r w:rsidR="0050218F">
        <w:rPr>
          <w:rFonts w:eastAsia="標楷體" w:hAnsi="標楷體" w:hint="eastAsia"/>
          <w:color w:val="000000" w:themeColor="text1"/>
          <w:sz w:val="28"/>
          <w:szCs w:val="32"/>
          <w:highlight w:val="yellow"/>
        </w:rPr>
        <w:t>臺</w:t>
      </w:r>
      <w:r w:rsidR="00715E89" w:rsidRPr="00027C63">
        <w:rPr>
          <w:rFonts w:eastAsia="標楷體" w:hAnsi="標楷體"/>
          <w:color w:val="000000" w:themeColor="text1"/>
          <w:sz w:val="28"/>
          <w:szCs w:val="32"/>
          <w:highlight w:val="yellow"/>
        </w:rPr>
        <w:t>南市</w:t>
      </w:r>
      <w:r w:rsidR="00CA2A82">
        <w:rPr>
          <w:rFonts w:ascii="標楷體" w:eastAsia="標楷體" w:hAnsi="標楷體" w:hint="eastAsia"/>
          <w:color w:val="000000" w:themeColor="text1"/>
          <w:sz w:val="28"/>
          <w:szCs w:val="32"/>
          <w:highlight w:val="yellow"/>
        </w:rPr>
        <w:t>學甲</w:t>
      </w:r>
      <w:r w:rsidR="00715E89" w:rsidRPr="00027C63">
        <w:rPr>
          <w:rFonts w:eastAsia="標楷體" w:hAnsi="標楷體"/>
          <w:color w:val="000000" w:themeColor="text1"/>
          <w:sz w:val="28"/>
          <w:szCs w:val="32"/>
          <w:highlight w:val="yellow"/>
        </w:rPr>
        <w:t>區</w:t>
      </w:r>
      <w:r w:rsidR="00CA2A82">
        <w:rPr>
          <w:rFonts w:eastAsia="標楷體" w:hAnsi="標楷體" w:hint="eastAsia"/>
          <w:color w:val="000000" w:themeColor="text1"/>
          <w:sz w:val="28"/>
          <w:szCs w:val="32"/>
          <w:highlight w:val="yellow"/>
        </w:rPr>
        <w:t>三慶里</w:t>
      </w:r>
      <w:bookmarkStart w:id="1" w:name="_GoBack"/>
      <w:bookmarkEnd w:id="1"/>
      <w:r w:rsidR="00CA2A82">
        <w:rPr>
          <w:rFonts w:eastAsia="標楷體" w:hAnsi="標楷體" w:hint="eastAsia"/>
          <w:color w:val="000000" w:themeColor="text1"/>
          <w:sz w:val="28"/>
          <w:szCs w:val="32"/>
          <w:highlight w:val="yellow"/>
        </w:rPr>
        <w:t>頂洲</w:t>
      </w:r>
      <w:r w:rsidR="00CA2A82">
        <w:rPr>
          <w:rFonts w:eastAsia="標楷體" w:hAnsi="標楷體" w:hint="eastAsia"/>
          <w:color w:val="000000" w:themeColor="text1"/>
          <w:sz w:val="28"/>
          <w:szCs w:val="32"/>
          <w:highlight w:val="yellow"/>
        </w:rPr>
        <w:t>108</w:t>
      </w:r>
      <w:r w:rsidR="00CA2A82">
        <w:rPr>
          <w:rFonts w:eastAsia="標楷體" w:hAnsi="標楷體" w:hint="eastAsia"/>
          <w:color w:val="000000" w:themeColor="text1"/>
          <w:sz w:val="28"/>
          <w:szCs w:val="32"/>
          <w:highlight w:val="yellow"/>
        </w:rPr>
        <w:t>號</w:t>
      </w:r>
    </w:p>
    <w:p w14:paraId="6D7B6E89" w14:textId="77777777"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14:paraId="334C6FD0" w14:textId="77777777"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押標金繳納方式、沒收與發還：</w:t>
      </w:r>
    </w:p>
    <w:p w14:paraId="166A43B9" w14:textId="2ED6DAA2"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997A4C">
        <w:rPr>
          <w:rFonts w:eastAsia="標楷體" w:hAnsi="標楷體"/>
          <w:color w:val="000000" w:themeColor="text1"/>
          <w:sz w:val="28"/>
          <w:szCs w:val="32"/>
          <w:u w:val="single"/>
        </w:rPr>
        <w:t>10</w:t>
      </w:r>
      <w:r w:rsidRPr="00997A4C">
        <w:rPr>
          <w:rFonts w:eastAsia="標楷體" w:hAnsi="標楷體"/>
          <w:color w:val="000000" w:themeColor="text1"/>
          <w:sz w:val="28"/>
          <w:szCs w:val="32"/>
          <w:u w:val="single"/>
        </w:rPr>
        <w:t>萬元</w:t>
      </w:r>
      <w:r w:rsidRPr="00997A4C">
        <w:rPr>
          <w:rFonts w:eastAsia="標楷體" w:hAnsi="標楷體"/>
          <w:color w:val="000000" w:themeColor="text1"/>
          <w:sz w:val="28"/>
          <w:szCs w:val="32"/>
        </w:rPr>
        <w:t>，投標廠商應以下列方式繳納：現金（應於截止投標期前繳納至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）、金融機構所簽發之本票、支票、保付支票、郵政匯票（抬頭應書名：「</w:t>
      </w:r>
      <w:r w:rsidRPr="00605E90">
        <w:rPr>
          <w:rFonts w:eastAsia="標楷體" w:hAnsi="標楷體" w:hint="eastAsia"/>
          <w:color w:val="000000" w:themeColor="text1"/>
          <w:sz w:val="28"/>
          <w:szCs w:val="32"/>
          <w:highlight w:val="yellow"/>
        </w:rPr>
        <w:t>臺南市</w:t>
      </w:r>
      <w:r w:rsidR="00C82DBC">
        <w:rPr>
          <w:rFonts w:ascii="標楷體" w:eastAsia="標楷體" w:hAnsi="標楷體" w:hint="eastAsia"/>
          <w:color w:val="000000" w:themeColor="text1"/>
          <w:sz w:val="28"/>
          <w:szCs w:val="32"/>
          <w:highlight w:val="yellow"/>
        </w:rPr>
        <w:t>學甲</w:t>
      </w:r>
      <w:r w:rsidR="00605E90" w:rsidRPr="00605E90">
        <w:rPr>
          <w:rFonts w:eastAsia="標楷體" w:hAnsi="標楷體"/>
          <w:color w:val="000000" w:themeColor="text1"/>
          <w:sz w:val="28"/>
          <w:szCs w:val="32"/>
          <w:highlight w:val="yellow"/>
        </w:rPr>
        <w:t>區</w:t>
      </w:r>
      <w:r w:rsidR="00C82DBC">
        <w:rPr>
          <w:rFonts w:ascii="標楷體" w:eastAsia="標楷體" w:hAnsi="標楷體" w:hint="eastAsia"/>
          <w:color w:val="000000" w:themeColor="text1"/>
          <w:sz w:val="28"/>
          <w:szCs w:val="32"/>
          <w:highlight w:val="yellow"/>
        </w:rPr>
        <w:t>頂洲</w:t>
      </w:r>
      <w:r w:rsidR="00605E90" w:rsidRPr="00605E90">
        <w:rPr>
          <w:rFonts w:eastAsia="標楷體" w:hAnsi="標楷體"/>
          <w:color w:val="000000" w:themeColor="text1"/>
          <w:sz w:val="28"/>
          <w:szCs w:val="32"/>
          <w:highlight w:val="yellow"/>
        </w:rPr>
        <w:t>國民小學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14:paraId="05B4DCCA"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上述押標金之方式，擇一放入標封內</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。凡未按規定繳納押標金者，其所投之標即被視為無效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押標金為票據，未當場領回者，由投標廠商提出申請退還，本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14:paraId="0686D6ED"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押標金採用方式涉及有效期時，應定於開標日後三十日以上。</w:t>
      </w:r>
    </w:p>
    <w:p w14:paraId="7DEFF5A5"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廠商有下列情形之一者，其所繳納之押標金及其孳息，</w:t>
      </w:r>
      <w:r w:rsidRPr="00997A4C">
        <w:rPr>
          <w:rFonts w:eastAsia="標楷體" w:hAnsi="標楷體"/>
          <w:color w:val="000000" w:themeColor="text1"/>
          <w:sz w:val="28"/>
          <w:szCs w:val="32"/>
        </w:rPr>
        <w:lastRenderedPageBreak/>
        <w:t>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14:paraId="79AFB9F1"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14:paraId="657D4E41"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14:paraId="13300F9F"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14:paraId="35D411D7"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14:paraId="23BD3F19"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14:paraId="2E2A5B54"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14:paraId="29FE76AA"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押標金轉換為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14:paraId="221B26BC"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14:paraId="06A9BF03" w14:textId="77777777"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14:paraId="391178DB" w14:textId="77777777"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本標租案開標依標租公告所定時間地點公開舉行，投標廠商可不在場，如遇特殊情形，得當場宣布延期開標。</w:t>
      </w:r>
    </w:p>
    <w:p w14:paraId="6E564E2F" w14:textId="77777777"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14:paraId="00025F1C"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14:paraId="7607565D"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14:paraId="12891989"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14:paraId="30A565D3"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14:paraId="54402D50"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14:paraId="3D1731DA"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14:paraId="3DE03F3A"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14:paraId="5EE67567"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14:paraId="4A32C862"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14:paraId="193E3AE2"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14:paraId="0365BD6E"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14:paraId="7120E9D1"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14:paraId="16B6F45C"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代擬招標文件之廠商，於依該招標文件辦理之標租。</w:t>
      </w:r>
    </w:p>
    <w:p w14:paraId="03C92399"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14:paraId="56676492"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w:t>
      </w:r>
      <w:r w:rsidRPr="00C35A6B">
        <w:rPr>
          <w:rFonts w:eastAsia="標楷體" w:hint="eastAsia"/>
          <w:sz w:val="28"/>
          <w:szCs w:val="32"/>
        </w:rPr>
        <w:lastRenderedPageBreak/>
        <w:t>訊之廠商，於使用該等資訊有利於該廠商得標之標租。</w:t>
      </w:r>
    </w:p>
    <w:p w14:paraId="578A1386"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14:paraId="671BD764"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14:paraId="3222FDC2" w14:textId="77777777"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14:paraId="036DBA92" w14:textId="77777777"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本標租案參考「採購評選委員會審議規則」及「最有利標評選辦法」等相關規定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評定優勝廠商方式採序位法，價格納入評比。</w:t>
      </w:r>
    </w:p>
    <w:p w14:paraId="239B2445" w14:textId="77777777"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本標租案倘僅有一家投標，其所投標內容符合投標文件規定者，亦得開標、決標。</w:t>
      </w:r>
    </w:p>
    <w:p w14:paraId="11CB2B82" w14:textId="77777777"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14:paraId="3A50D5CC" w14:textId="77777777"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14:paraId="4A26B618" w14:textId="77777777"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14:paraId="4A249F65" w14:textId="77777777"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14:paraId="7A03B603" w14:textId="77777777"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14:paraId="7B6A8680"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kWp</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/kWp</w:t>
      </w:r>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14:paraId="40B6CE9E" w14:textId="0B09142C"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指定之專戶）、金融機構所簽發之本票、支票、保付支票、郵政匯票（抬頭應書名：「</w:t>
      </w:r>
      <w:r w:rsidRPr="00997A4C">
        <w:rPr>
          <w:rFonts w:eastAsia="標楷體" w:hAnsi="標楷體" w:hint="eastAsia"/>
          <w:color w:val="000000" w:themeColor="text1"/>
          <w:sz w:val="28"/>
          <w:szCs w:val="32"/>
        </w:rPr>
        <w:t>臺南市</w:t>
      </w:r>
      <w:r w:rsidR="00C82DBC">
        <w:rPr>
          <w:rFonts w:ascii="標楷體" w:eastAsia="標楷體" w:hAnsi="標楷體" w:hint="eastAsia"/>
          <w:color w:val="000000" w:themeColor="text1"/>
          <w:sz w:val="28"/>
          <w:szCs w:val="32"/>
        </w:rPr>
        <w:t>學甲</w:t>
      </w:r>
      <w:r w:rsidR="00D30629">
        <w:rPr>
          <w:rFonts w:eastAsia="標楷體" w:hAnsi="標楷體" w:hint="eastAsia"/>
          <w:color w:val="000000" w:themeColor="text1"/>
          <w:sz w:val="28"/>
          <w:szCs w:val="32"/>
        </w:rPr>
        <w:t>區</w:t>
      </w:r>
      <w:r w:rsidR="00C82DBC">
        <w:rPr>
          <w:rFonts w:ascii="標楷體" w:eastAsia="標楷體" w:hAnsi="標楷體" w:hint="eastAsia"/>
          <w:color w:val="000000" w:themeColor="text1"/>
          <w:sz w:val="28"/>
          <w:szCs w:val="32"/>
        </w:rPr>
        <w:t>頂洲</w:t>
      </w:r>
      <w:r w:rsidR="00962163">
        <w:rPr>
          <w:rFonts w:eastAsia="標楷體" w:hAnsi="標楷體" w:hint="eastAsia"/>
          <w:color w:val="000000" w:themeColor="text1"/>
          <w:sz w:val="28"/>
          <w:szCs w:val="32"/>
        </w:rPr>
        <w:t>國民小學</w:t>
      </w:r>
      <w:r w:rsidRPr="00997A4C">
        <w:rPr>
          <w:rFonts w:eastAsia="標楷體" w:hAnsi="標楷體"/>
          <w:color w:val="000000" w:themeColor="text1"/>
          <w:sz w:val="28"/>
          <w:szCs w:val="32"/>
        </w:rPr>
        <w:t>」後並予劃線），</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14:paraId="40214F73"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分票據，其中第</w:t>
      </w:r>
      <w:r w:rsidRPr="00997A4C">
        <w:rPr>
          <w:rFonts w:eastAsia="標楷體" w:hAnsi="標楷體" w:hint="eastAsia"/>
          <w:color w:val="000000" w:themeColor="text1"/>
          <w:sz w:val="28"/>
          <w:szCs w:val="32"/>
        </w:rPr>
        <w:t>1</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份票據各佔履約保證金四分之一金額，第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份票據佔履約保證金二分之一金額，以利後續退還作業。若押標金已繳抵履約保證金，則第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w:t>
      </w:r>
      <w:r w:rsidRPr="00997A4C">
        <w:rPr>
          <w:rFonts w:eastAsia="標楷體" w:hAnsi="標楷體" w:hint="eastAsia"/>
          <w:color w:val="000000" w:themeColor="text1"/>
          <w:sz w:val="28"/>
          <w:szCs w:val="32"/>
        </w:rPr>
        <w:lastRenderedPageBreak/>
        <w:t>證金二分之一金額扣除押標金後得之。</w:t>
      </w:r>
    </w:p>
    <w:p w14:paraId="58F1D6A0"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14:paraId="50C3AEE3"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14:paraId="7E19107B"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得標廠商有下列情形之一者，其所繳納之履約保證金及其孳息，不予發還：</w:t>
      </w:r>
    </w:p>
    <w:p w14:paraId="229A2C9B"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14:paraId="0FADFBC5"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得標廠商應自行履行契約，不得轉包（所稱轉包，指將原契約中應自行履行之全部或其主要部分，由其他廠商代為履行）。轉包者，不發還全部履約保證金。</w:t>
      </w:r>
    </w:p>
    <w:p w14:paraId="20A076A8"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14:paraId="46F4C673"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14:paraId="376E0531"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14:paraId="12C9F35C"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14:paraId="6889B9A1"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14:paraId="06A351F3" w14:textId="77777777"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14:paraId="428B7F70" w14:textId="77777777"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14:paraId="7CA4D34F" w14:textId="77777777"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lastRenderedPageBreak/>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14:paraId="5A4B85EB" w14:textId="77777777"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14:paraId="1E5D6AE7" w14:textId="77777777"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14:paraId="00DAF44B" w14:textId="77777777"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14:paraId="6ADA8296" w14:textId="77777777"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14:paraId="5BD0AE2D"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14:paraId="6FB6D920"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14:paraId="54B4863A"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14:paraId="2C8E449A" w14:textId="77777777"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本標租案租賃契約以中華民國法律為準據法，並以臺南市政府所在地之地方法院為第一審管轄法院。</w:t>
      </w:r>
    </w:p>
    <w:p w14:paraId="68EA8024" w14:textId="77777777"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法務部廉政署受理檢舉相關資訊及臺南市政府採購稽核小組如下：</w:t>
      </w:r>
    </w:p>
    <w:p w14:paraId="0742C7C3" w14:textId="77777777"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14:paraId="27F63FC9"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14:paraId="2CF9C17C"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14:paraId="0480861F"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14:paraId="51A5FF18"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hyperlink r:id="rId9" w:history="1">
        <w:r w:rsidRPr="00997A4C">
          <w:rPr>
            <w:rFonts w:hint="eastAsia"/>
            <w:color w:val="000000" w:themeColor="text1"/>
          </w:rPr>
          <w:t>gechief-p@mail.moj.gov.tw</w:t>
        </w:r>
      </w:hyperlink>
    </w:p>
    <w:p w14:paraId="68381F85"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14:paraId="4C1E2F6C" w14:textId="77777777"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臺南市政府採購稽核小組</w:t>
      </w:r>
    </w:p>
    <w:p w14:paraId="3D0E109C" w14:textId="77777777"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r w:rsidRPr="00997A4C">
        <w:rPr>
          <w:rFonts w:ascii="標楷體" w:eastAsia="標楷體" w:hAnsi="標楷體" w:cs="標楷體" w:hint="eastAsia"/>
          <w:color w:val="000000" w:themeColor="text1"/>
          <w:sz w:val="28"/>
          <w:szCs w:val="28"/>
          <w:lang w:val="zh-TW"/>
        </w:rPr>
        <w:t>臺南市安平區永華路二段6號</w:t>
      </w:r>
    </w:p>
    <w:p w14:paraId="5FA00A5C" w14:textId="77777777"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14:paraId="19BA5586" w14:textId="77777777"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14:paraId="1C6FB0F3"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本標租案開標前倘因特殊原因或不可抗力之因素而情事變更，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或停止本標租案。</w:t>
      </w:r>
    </w:p>
    <w:p w14:paraId="03E427C2"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參加本標租案之投標人，必須仔細閱讀且遵守本投標須知，</w:t>
      </w:r>
      <w:r w:rsidRPr="00997A4C">
        <w:rPr>
          <w:rFonts w:ascii="Times New Roman" w:hAnsi="標楷體"/>
          <w:color w:val="000000" w:themeColor="text1"/>
          <w:szCs w:val="28"/>
        </w:rPr>
        <w:lastRenderedPageBreak/>
        <w:t>並對本須知內應履行之權利義務及行為負責，並不得以任何理由要求投標無效。</w:t>
      </w:r>
    </w:p>
    <w:p w14:paraId="62D5E9E8" w14:textId="77777777"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14:paraId="437B5E78"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如舉辦公開說明會說明之事項與本須知或契約書內容不一致時，以本須知及契約書條款為準。</w:t>
      </w:r>
    </w:p>
    <w:p w14:paraId="6EE3FEBA"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14:paraId="3BB01D4E"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投標人之投標文件經開啟標封後均不予發還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14:paraId="6E611D5D" w14:textId="77777777"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得標廠商進場施工前需提送本案施工計畫書、品質計畫書、職安計畫書予學校核備，惟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14:paraId="1EB0656F" w14:textId="77777777"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各案場若有樹木修剪需求，請依照</w:t>
      </w:r>
      <w:r w:rsidR="00CE2E38" w:rsidRPr="00C82DBC">
        <w:rPr>
          <w:rFonts w:ascii="Times New Roman"/>
          <w:color w:val="000000" w:themeColor="text1"/>
          <w:szCs w:val="28"/>
        </w:rPr>
        <w:t>臺南市政府</w:t>
      </w:r>
      <w:r w:rsidRPr="00C82DBC">
        <w:rPr>
          <w:rFonts w:ascii="Times New Roman"/>
          <w:color w:val="000000" w:themeColor="text1"/>
          <w:szCs w:val="28"/>
        </w:rPr>
        <w:t>工務局「臺南市樹木修剪施工要領」執行且須聘請具</w:t>
      </w:r>
      <w:r w:rsidR="00C96CA0" w:rsidRPr="00C82DBC">
        <w:rPr>
          <w:rFonts w:ascii="Times New Roman"/>
          <w:color w:val="000000" w:themeColor="text1"/>
          <w:szCs w:val="28"/>
        </w:rPr>
        <w:t>臺南市政</w:t>
      </w:r>
      <w:r w:rsidRPr="00C82DBC">
        <w:rPr>
          <w:rFonts w:ascii="Times New Roman"/>
          <w:color w:val="000000" w:themeColor="text1"/>
          <w:szCs w:val="28"/>
        </w:rPr>
        <w:t>府工務局核發的合格證照專業修剪工進行修剪，得標廠商進場</w:t>
      </w:r>
      <w:r w:rsidRPr="00997A4C">
        <w:rPr>
          <w:rFonts w:ascii="Times New Roman"/>
          <w:color w:val="000000" w:themeColor="text1"/>
          <w:szCs w:val="28"/>
        </w:rPr>
        <w:t>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14:paraId="7030157C" w14:textId="77777777"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14:paraId="7FB51ECB" w14:textId="77777777"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14:paraId="626B4F8D" w14:textId="77777777"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78155EB0" wp14:editId="66DE6CD0">
                <wp:simplePos x="0" y="0"/>
                <wp:positionH relativeFrom="column">
                  <wp:posOffset>0</wp:posOffset>
                </wp:positionH>
                <wp:positionV relativeFrom="paragraph">
                  <wp:posOffset>45085</wp:posOffset>
                </wp:positionV>
                <wp:extent cx="592228" cy="1404620"/>
                <wp:effectExtent l="0" t="0" r="17780"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14:paraId="1C6914DD" w14:textId="77777777" w:rsidR="002E54CB" w:rsidRDefault="002E54CB"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155EB0" id="_x0000_t202" coordsize="21600,21600" o:spt="202" path="m,l,21600r21600,l21600,xe">
                <v:stroke joinstyle="miter"/>
                <v:path gradientshapeok="t" o:connecttype="rect"/>
              </v:shapetype>
              <v:shape id="文字方塊 2" o:spid="_x0000_s1026" type="#_x0000_t202" style="position:absolute;left:0;text-align:left;margin-left:0;margin-top:3.55pt;width:46.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">
                <v:textbox style="mso-fit-shape-to-text:t">
                  <w:txbxContent>
                    <w:p w14:paraId="1C6914DD" w14:textId="77777777" w:rsidR="002E54CB" w:rsidRDefault="002E54CB" w:rsidP="00003B5D">
                      <w:r>
                        <w:rPr>
                          <w:rFonts w:hint="eastAsia"/>
                        </w:rPr>
                        <w:t>附</w:t>
                      </w:r>
                      <w:r>
                        <w:t>錄</w:t>
                      </w:r>
                      <w:r>
                        <w:t>1</w:t>
                      </w:r>
                    </w:p>
                  </w:txbxContent>
                </v:textbox>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14:paraId="49D7AD2A" w14:textId="77777777" w:rsidR="00251E47" w:rsidRPr="00251E47" w:rsidRDefault="00251E47" w:rsidP="00251E47">
      <w:pPr>
        <w:snapToGrid w:val="0"/>
        <w:jc w:val="center"/>
        <w:rPr>
          <w:rFonts w:ascii="標楷體" w:eastAsia="標楷體" w:hAnsi="標楷體"/>
          <w:b/>
          <w:sz w:val="28"/>
          <w:szCs w:val="28"/>
        </w:rPr>
      </w:pPr>
    </w:p>
    <w:p w14:paraId="721AEF09" w14:textId="77777777"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14:paraId="0E5110C0" w14:textId="77777777"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，原房舍為斜屋頂者非適用範圍</w:t>
      </w:r>
      <w:r w:rsidRPr="002C16E6">
        <w:rPr>
          <w:rFonts w:ascii="標楷體" w:eastAsia="標楷體" w:hAnsi="標楷體" w:cs="Times New Roman"/>
          <w:sz w:val="28"/>
          <w:szCs w:val="28"/>
        </w:rPr>
        <w:t>：</w:t>
      </w:r>
    </w:p>
    <w:p w14:paraId="56FC5F8E" w14:textId="77777777"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r w:rsidRPr="002C16E6">
        <w:rPr>
          <w:rFonts w:ascii="Calibri" w:eastAsia="標楷體" w:hAnsi="標楷體" w:cs="Times New Roman" w:hint="eastAsia"/>
          <w:sz w:val="28"/>
          <w:szCs w:val="32"/>
        </w:rPr>
        <w:t>乙方裝設太陽光電模組請依現場最佳方式安裝於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之建構</w:t>
      </w:r>
      <w:r w:rsidRPr="002C16E6">
        <w:rPr>
          <w:rFonts w:ascii="標楷體" w:eastAsia="標楷體" w:hAnsi="標楷體" w:cs="Times New Roman" w:hint="eastAsia"/>
          <w:sz w:val="28"/>
          <w:szCs w:val="32"/>
        </w:rPr>
        <w:t>請參照</w:t>
      </w:r>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r w:rsidRPr="002C16E6">
        <w:rPr>
          <w:rFonts w:ascii="Calibri" w:eastAsia="標楷體" w:hAnsi="標楷體" w:cs="Times New Roman" w:hint="eastAsia"/>
          <w:sz w:val="28"/>
          <w:szCs w:val="32"/>
        </w:rPr>
        <w:t>臺南市一定規模以下建築物免辦理變更使用執照辦法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、「臺南市免請領建築執照建築物或雜項工作物處理原則」或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14:paraId="2AEAA134" w14:textId="77777777"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14:paraId="063720D6" w14:textId="77777777"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基座以植筋方式施作於原有建築物之柱位為原則，不得施作於屋頂樓地板上（如穿透、植筋、打毛等破壞行為）。</w:t>
      </w:r>
    </w:p>
    <w:p w14:paraId="0BF35629" w14:textId="77777777"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r w:rsidR="00251E47" w:rsidRPr="002C16E6">
        <w:rPr>
          <w:rFonts w:ascii="Times New Roman" w:hAnsi="標楷體"/>
          <w:szCs w:val="28"/>
        </w:rPr>
        <w:t>”</w:t>
      </w:r>
      <w:r w:rsidR="00251E47" w:rsidRPr="002C16E6">
        <w:rPr>
          <w:rFonts w:ascii="Times New Roman" w:hAnsi="標楷體"/>
          <w:szCs w:val="28"/>
        </w:rPr>
        <w:t>PVC</w:t>
      </w:r>
      <w:r w:rsidR="00251E47" w:rsidRPr="002C16E6">
        <w:rPr>
          <w:rFonts w:ascii="Times New Roman" w:hAnsi="標楷體"/>
          <w:szCs w:val="28"/>
        </w:rPr>
        <w:t>以上落水管接至適當排水溝或落水孔，其所需槽溝斷面及落水管支數，應依集水面積計算決定，臨牆面部分應做好汎水收邊，使雨水沿板面順流至天溝水落。</w:t>
      </w:r>
    </w:p>
    <w:p w14:paraId="113D2103" w14:textId="77777777"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14:paraId="712839D1" w14:textId="77777777"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14:paraId="2F3EFCF0" w14:textId="77777777"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14:paraId="1E7A6053"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支撐架結構設計應符合「建築物耐風設計規範及解說」之規定，惟基本設計風速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14:paraId="57CE2186"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支撐架結構設計應依建築物耐風設計規範進行設計，其中用途係數</w:t>
      </w:r>
      <w:r w:rsidRPr="00500853">
        <w:rPr>
          <w:rFonts w:ascii="Times New Roman" w:hAnsi="標楷體"/>
          <w:szCs w:val="28"/>
        </w:rPr>
        <w:t>(I)</w:t>
      </w:r>
      <w:r w:rsidRPr="00500853">
        <w:rPr>
          <w:rFonts w:ascii="Times New Roman" w:hAnsi="標楷體"/>
          <w:szCs w:val="28"/>
        </w:rPr>
        <w:t>，採</w:t>
      </w:r>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，採</w:t>
      </w:r>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14:paraId="19E8F590"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lastRenderedPageBreak/>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連結固定，連結扣件共計須</w:t>
      </w:r>
      <w:r w:rsidRPr="00500853">
        <w:rPr>
          <w:rFonts w:ascii="Times New Roman" w:hAnsi="標楷體"/>
          <w:szCs w:val="28"/>
        </w:rPr>
        <w:t>6</w:t>
      </w:r>
      <w:r w:rsidRPr="00500853">
        <w:rPr>
          <w:rFonts w:ascii="Times New Roman" w:hAnsi="標楷體"/>
          <w:szCs w:val="28"/>
        </w:rPr>
        <w:t>組以上。</w:t>
      </w:r>
    </w:p>
    <w:p w14:paraId="19214DA9" w14:textId="77777777"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包含螺絲、螺帽、彈簧華司、平板華司等</w:t>
      </w:r>
      <w:r w:rsidRPr="00500853">
        <w:rPr>
          <w:rFonts w:ascii="Times New Roman" w:hAnsi="標楷體"/>
          <w:szCs w:val="28"/>
        </w:rPr>
        <w:t>)</w:t>
      </w:r>
      <w:r w:rsidRPr="00500853">
        <w:rPr>
          <w:rFonts w:ascii="Times New Roman" w:hAnsi="標楷體"/>
          <w:szCs w:val="28"/>
        </w:rPr>
        <w:t>及扣件材質必須具抗腐蝕能力，螺絲組</w:t>
      </w:r>
      <w:r w:rsidRPr="00500853">
        <w:rPr>
          <w:rFonts w:ascii="Times New Roman" w:hAnsi="標楷體"/>
          <w:szCs w:val="28"/>
        </w:rPr>
        <w:t>(</w:t>
      </w:r>
      <w:r w:rsidRPr="00500853">
        <w:rPr>
          <w:rFonts w:ascii="Times New Roman" w:hAnsi="標楷體"/>
          <w:szCs w:val="28"/>
        </w:rPr>
        <w:t>包含螺絲、螺帽、平板華司與彈簧華司等</w:t>
      </w:r>
      <w:r w:rsidRPr="00500853">
        <w:rPr>
          <w:rFonts w:ascii="Times New Roman" w:hAnsi="標楷體"/>
          <w:szCs w:val="28"/>
        </w:rPr>
        <w:t>)</w:t>
      </w:r>
      <w:r w:rsidRPr="00500853">
        <w:rPr>
          <w:rFonts w:ascii="Times New Roman" w:hAnsi="標楷體"/>
          <w:szCs w:val="28"/>
        </w:rPr>
        <w:t>應為同一材質，可為熱浸鍍鋅或電鍍鋅材質或不銹鋼材質等抗腐蝕材質，並取得抗腐蝕品質測試報告。</w:t>
      </w:r>
    </w:p>
    <w:p w14:paraId="2DAD16A6" w14:textId="77777777"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片彈簧華司、至少</w:t>
      </w:r>
      <w:r w:rsidRPr="00500853">
        <w:rPr>
          <w:rFonts w:ascii="Times New Roman" w:hAnsi="標楷體"/>
          <w:szCs w:val="28"/>
        </w:rPr>
        <w:t>2</w:t>
      </w:r>
      <w:r w:rsidRPr="00500853">
        <w:rPr>
          <w:rFonts w:ascii="Times New Roman" w:hAnsi="標楷體"/>
          <w:szCs w:val="28"/>
        </w:rPr>
        <w:t>片平板華司、至少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個抗腐蝕六角蓋型螺帽。</w:t>
      </w:r>
    </w:p>
    <w:p w14:paraId="644AB85E" w14:textId="77777777"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支撐架金屬基材耐腐蝕性能</w:t>
      </w:r>
      <w:r>
        <w:rPr>
          <w:rFonts w:ascii="Times New Roman" w:eastAsia="標楷體" w:hAnsi="Times New Roman" w:cs="Times New Roman" w:hint="eastAsia"/>
          <w:sz w:val="28"/>
          <w:szCs w:val="28"/>
        </w:rPr>
        <w:t>：</w:t>
      </w:r>
    </w:p>
    <w:p w14:paraId="218FD4BA"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14:paraId="25E0B099"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若採用鋼構基材，應為一般結構用鋼材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或冷軋鋼構材外加表面防蝕處理，或耐候鋼材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r w:rsidRPr="005409FC">
        <w:rPr>
          <w:rFonts w:ascii="Times New Roman" w:hAnsi="標楷體"/>
          <w:szCs w:val="28"/>
        </w:rPr>
        <w:t>鋼構基材表面處理，須以設置地點符合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r w:rsidRPr="005409FC">
        <w:rPr>
          <w:rFonts w:ascii="Times New Roman" w:hAnsi="標楷體"/>
          <w:szCs w:val="28"/>
        </w:rPr>
        <w:t>以上抗腐蝕性能進行表面處理，並由專業機構提出施作說明與品質保證證明。</w:t>
      </w:r>
    </w:p>
    <w:p w14:paraId="37E3ACEF"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以上等級，並須符合結構安全要求。其表面處理方式採陽極處理厚度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以上之壓克力透明漆之表面防蝕處理，除鋁合金鋁擠型基材外的鋁合金板、小配件等之表面處理方式可為陽極處理厚度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14:paraId="346E0E03"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太陽光電模組鋁框與鋼構基材接觸位置應加裝鐵氟龍絕緣墊片以隔開二者，避免產生電位差腐蝕；螺絲組與太陽</w:t>
      </w:r>
      <w:r w:rsidRPr="005409FC">
        <w:rPr>
          <w:rFonts w:ascii="Times New Roman" w:hAnsi="標楷體"/>
          <w:szCs w:val="28"/>
        </w:rPr>
        <w:lastRenderedPageBreak/>
        <w:t>光電模組鋁框接觸處之平板華司下方應再加裝鐵氟龍絕緣墊片以隔開螺絲組及模組鋁框。</w:t>
      </w:r>
    </w:p>
    <w:p w14:paraId="7D1C63F9" w14:textId="77777777"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14:paraId="45345452"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14:paraId="0393BA37" w14:textId="77777777"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維護管理及公共安全意外之防護均由乙方負責。其造成人員傷亡、財物毀損、鄰房反光部分或管理機關之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被訴或被求償者，乙方應賠償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14:paraId="555B7D16" w14:textId="77777777"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租賃期間所發生之侵權、環保、人員傷亡、意外事件等，均由乙方負責處理，與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14:paraId="31DA9C2B"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14:paraId="2AA5FC08" w14:textId="77777777"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乙方對租賃物應盡善良保管責任，如因故意、過失或施工不良，致不動產及其他設備損毀時，願負一切損害賠償責任，絕無異議，其損害金額得自履約保證金扣除，不足部分再向乙方求償；其需修繕者，亦同。</w:t>
      </w:r>
    </w:p>
    <w:p w14:paraId="3CC293A7" w14:textId="77777777"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修剪及移植樹木，請依「臺南市樹木修剪施工要領」及「臺南市樹木移植施工要領」辦理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14:paraId="0FA731DB"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太陽光電發電系統建置完成後於租賃存續期間，設置標的房</w:t>
      </w:r>
      <w:r w:rsidRPr="002C16E6">
        <w:rPr>
          <w:rFonts w:ascii="Times New Roman" w:eastAsia="標楷體" w:hAnsi="Times New Roman" w:cs="Times New Roman" w:hint="eastAsia"/>
          <w:sz w:val="28"/>
          <w:szCs w:val="28"/>
        </w:rPr>
        <w:lastRenderedPageBreak/>
        <w:t>舍之屋頂樓地板若有漏水情事發生，概由乙方完全負責防漏</w:t>
      </w:r>
      <w:r w:rsidR="0086381A" w:rsidRPr="0086381A">
        <w:rPr>
          <w:rFonts w:ascii="Times New Roman" w:eastAsia="標楷體" w:hAnsi="Times New Roman" w:cs="Times New Roman" w:hint="eastAsia"/>
          <w:color w:val="0000FF"/>
          <w:sz w:val="28"/>
          <w:szCs w:val="28"/>
        </w:rPr>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14:paraId="1C305D47" w14:textId="77777777"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14:paraId="0677218C" w14:textId="77777777"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或房舍管理機關（單位）有耐震或結構補強或防水或隔熱或其他工程之需，須暫時遷移該太陽光電發電系統，乙方應無償配合，俾利工程遂行，並俟工程完工後再予復原。若乙方違反本項規定，經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14:paraId="234EA68B" w14:textId="77777777" w:rsidR="00373E63" w:rsidRDefault="00373E63" w:rsidP="0086381A">
      <w:pPr>
        <w:snapToGrid w:val="0"/>
        <w:spacing w:line="440" w:lineRule="exact"/>
        <w:contextualSpacing/>
        <w:jc w:val="both"/>
        <w:rPr>
          <w:rFonts w:eastAsia="標楷體" w:hAnsi="標楷體"/>
          <w:sz w:val="28"/>
          <w:szCs w:val="28"/>
        </w:rPr>
      </w:pPr>
    </w:p>
    <w:p w14:paraId="1B57DC32" w14:textId="77777777" w:rsidR="00373E63" w:rsidRDefault="00373E63">
      <w:pPr>
        <w:widowControl/>
        <w:rPr>
          <w:rFonts w:eastAsia="標楷體" w:hAnsi="標楷體"/>
          <w:sz w:val="28"/>
          <w:szCs w:val="28"/>
        </w:rPr>
      </w:pPr>
      <w:r>
        <w:rPr>
          <w:rFonts w:eastAsia="標楷體" w:hAnsi="標楷體"/>
          <w:sz w:val="28"/>
          <w:szCs w:val="28"/>
        </w:rPr>
        <w:br w:type="page"/>
      </w:r>
    </w:p>
    <w:p w14:paraId="14A71866" w14:textId="77777777"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7E015089" wp14:editId="137B83F8">
                <wp:simplePos x="0" y="0"/>
                <wp:positionH relativeFrom="column">
                  <wp:posOffset>0</wp:posOffset>
                </wp:positionH>
                <wp:positionV relativeFrom="paragraph">
                  <wp:posOffset>45085</wp:posOffset>
                </wp:positionV>
                <wp:extent cx="592228" cy="1404620"/>
                <wp:effectExtent l="0" t="0" r="17780"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14:paraId="19D9C052" w14:textId="77777777" w:rsidR="002E54CB" w:rsidRDefault="002E54CB"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015089" id="_x0000_s1027" type="#_x0000_t202" style="position:absolute;left:0;text-align:left;margin-left:0;margin-top:3.55pt;width:46.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14:paraId="19D9C052" w14:textId="77777777" w:rsidR="002E54CB" w:rsidRDefault="002E54CB" w:rsidP="00373E63">
                      <w:r>
                        <w:rPr>
                          <w:rFonts w:hint="eastAsia"/>
                        </w:rPr>
                        <w:t>附</w:t>
                      </w:r>
                      <w:r>
                        <w:t>錄</w:t>
                      </w:r>
                      <w:r>
                        <w:t>2</w:t>
                      </w:r>
                    </w:p>
                  </w:txbxContent>
                </v:textbox>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14:paraId="695FB74D" w14:textId="77777777"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14:paraId="1807F24C" w14:textId="77777777"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14:paraId="03E7019D" w14:textId="77777777"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，結構柱高起算點為屋頂下緣起算 7公尺為限 ，並符合現行建築法相關規定。</w:t>
      </w:r>
    </w:p>
    <w:p w14:paraId="503599C2" w14:textId="77777777"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包含球場地坪興建並全面鋪設壓克力漆、畫線及球柱、保護墊等，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，結構柱高起算點為屋頂下緣起算7公尺為限，並符合現行建築法相關規定。</w:t>
      </w:r>
    </w:p>
    <w:p w14:paraId="33588A62" w14:textId="77777777"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14:paraId="66C1A272" w14:textId="77777777"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14:paraId="2D81EF3E" w14:textId="77777777"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14:paraId="6CC3F2B7" w14:textId="77777777"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04827FAA" wp14:editId="1D684393">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14:paraId="7811A421" w14:textId="77777777" w:rsidR="002E54CB" w:rsidRPr="0008517D" w:rsidRDefault="002E54CB"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4827FAA"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直線接點 17" o:spid="_x0000_s1030" style="position:absolute;flip:x;visibility:visible;mso-wrap-style:square" from="0,0" to="34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97iMAAAADbAAAADwAAAGRycy9kb3ducmV2LnhtbERPS08CMRC+m/gfmjHxJl05CFnobsCo&#10;cDPyuE+2w+7Cdtq0Fcq/pyQm3ubL95x5ncwgzuRDb1nB66gAQdxY3XOrYLf9fJmCCBFZ42CZFFwp&#10;QF09Psyx1PbCP3TexFbkEA4lKuhidKWUoenIYBhZR5y5g/UGY4a+ldrjJYebQY6L4k0a7Dk3dOjo&#10;vaPmtPk1CpLb9cWwXOHH/thMv8xYOp++lXp+SosZiEgp/ov/3Gud50/g/ks+QFY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4ve4jAAAAA2wAAAA8AAAAAAAAAAAAAAAAA&#10;oQIAAGRycy9kb3ducmV2LnhtbFBLBQYAAAAABAAEAPkAAACOAwAAAAA=&#10;" strokecolor="#4a7ebb" strokeweight="3pt"/>
                  <v:line id="直線接點 18" o:spid="_x0000_s1031" style="position:absolute;visibility:visible;mso-wrap-style:square" from="3429,228" to="7391,3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Al1b8AAADbAAAADwAAAGRycy9kb3ducmV2LnhtbESPzarCMBCF94LvEEa4O011IVKNIoKg&#10;S3/A7dCMTbGZtE3U+vZ3FoK7Gc6Zc75ZbXpfqxd1sQpsYDrJQBEXwVZcGrhe9uMFqJiQLdaBycCH&#10;ImzWw8EKcxvefKLXOZVKQjjmaMCl1ORax8KRxzgJDbFo99B5TLJ2pbYdviXc13qWZXPtsWJpcNjQ&#10;zlHxOD+9AbJle5k+jne+xap188+z3d/ImL9Rv12CStSnn/l7fbCCL7Dyiwyg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ZAl1b8AAADbAAAADwAAAAAAAAAAAAAAAACh&#10;AgAAZHJzL2Rvd25yZXYueG1sUEsFBgAAAAAEAAQA+QAAAI0DA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yBhcIA&#10;AADbAAAADwAAAGRycy9kb3ducmV2LnhtbERPTWvCQBC9F/wPywje6katUqOrqGjpRaG2qMchOybR&#10;7GzIrjH9992C4G0e73Om88YUoqbK5ZYV9LoRCOLE6pxTBT/fm9d3EM4jaywsk4JfcjCftV6mGGt7&#10;5y+q9z4VIYRdjAoy78tYSpdkZNB1bUkcuLOtDPoAq1TqCu8h3BSyH0UjaTDn0JBhSauMkuv+ZhR8&#10;0MW58+ltPYwOluvFbrs8DrRSnXazmIDw1Pin+OH+1GH+GP5/CQfI2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bIGFwgAAANsAAAAPAAAAAAAAAAAAAAAAAJgCAABkcnMvZG93&#10;bnJldi54bWxQSwUGAAAAAAQABAD1AAAAhwMAAAAA&#10;" adj="-7524,13911,617,11715" filled="f" strokecolor="red" strokeweight="2pt">
                  <v:stroke startarrow="block"/>
                  <v:textbox>
                    <w:txbxContent>
                      <w:p w14:paraId="7811A421" w14:textId="77777777" w:rsidR="002E54CB" w:rsidRPr="0008517D" w:rsidRDefault="002E54CB"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43F51553" wp14:editId="2C3FF076">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14:paraId="424A995C" w14:textId="77777777" w:rsidR="002E54CB" w:rsidRPr="0008517D" w:rsidRDefault="002E54CB"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51553"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14:paraId="424A995C" w14:textId="77777777" w:rsidR="002E54CB" w:rsidRPr="0008517D" w:rsidRDefault="002E54CB"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2BF8BA82" wp14:editId="0017C653">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50D0660"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OV2MAAAADaAAAADwAAAGRycy9kb3ducmV2LnhtbERPTYvCMBC9C/sfwix401QPi1SjiKy6&#10;FxGrsnscmrEt20xCE23990YQPA2P9zmzRWdqcaPGV5YVjIYJCOLc6ooLBafjejAB4QOyxtoyKbiT&#10;h8X8ozfDVNuWD3TLQiFiCPsUFZQhuFRKn5dk0A+tI47cxTYGQ4RNIXWDbQw3tRwnyZc0WHFsKNHR&#10;qqT8P7saBdmqOu+LP6zb82R0Wu++3e9245Tqf3bLKYhAXXiLX+4fHefD85XnlfMH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XjldjAAAAA2gAAAA8AAAAAAAAAAAAAAAAA&#10;oQIAAGRycy9kb3ducmV2LnhtbFBLBQYAAAAABAAEAPkAAACOAwAAAAA=&#10;" strokecolor="#4579b8 [3044]" strokeweight="3pt"/>
                <v:line id="直線接點 2" o:spid="_x0000_s1028" style="position:absolute;visibility:visible;mso-wrap-style:square" from="3429,228" to="7391,3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YEZMMAAADaAAAADwAAAGRycy9kb3ducmV2LnhtbESPwW7CMBBE75X4B2uReis2OaA2YBBC&#10;iigtlwY+YBUvSZR4bWIX0n59XalSj6OZeaNZbUbbixsNoXWsYT5TIIgrZ1quNZxPxdMziBCRDfaO&#10;ScMXBdisJw8rzI278wfdyliLBOGQo4YmRp9LGaqGLIaZ88TJu7jBYkxyqKUZ8J7gtpeZUgtpseW0&#10;0KCnXUNVV35aDV3pi+ux8y/vmXs74vdeFerQaf04HbdLEJHG+B/+a78aDRn8Xkk3QK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mBGTDAAAA2gAAAA8AAAAAAAAAAAAA&#10;AAAAoQIAAGRycy9kb3ducmV2LnhtbFBLBQYAAAAABAAEAPkAAACRAw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2B20215D" wp14:editId="0AACC402">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443447A" w14:textId="77777777"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14:paraId="13A6C8AD" w14:textId="77777777"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164"/>
        <w:gridCol w:w="634"/>
        <w:gridCol w:w="809"/>
        <w:gridCol w:w="5583"/>
      </w:tblGrid>
      <w:tr w:rsidR="00373E63" w:rsidRPr="00EF6059" w14:paraId="555B076D" w14:textId="77777777" w:rsidTr="00373E63">
        <w:trPr>
          <w:trHeight w:val="210"/>
        </w:trPr>
        <w:tc>
          <w:tcPr>
            <w:tcW w:w="285" w:type="pct"/>
            <w:vAlign w:val="center"/>
          </w:tcPr>
          <w:p w14:paraId="006D4BD9"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14:paraId="7C0383BE" w14:textId="77777777" w:rsidR="00373E63" w:rsidRPr="00EF6059" w:rsidRDefault="00373E63" w:rsidP="00373E63">
            <w:pPr>
              <w:jc w:val="center"/>
              <w:rPr>
                <w:rFonts w:eastAsia="標楷體"/>
                <w:color w:val="000000" w:themeColor="text1"/>
              </w:rPr>
            </w:pPr>
          </w:p>
        </w:tc>
        <w:tc>
          <w:tcPr>
            <w:tcW w:w="365" w:type="pct"/>
            <w:vAlign w:val="center"/>
          </w:tcPr>
          <w:p w14:paraId="2DE20DE8"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應</w:t>
            </w:r>
          </w:p>
          <w:p w14:paraId="543C424A"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14:paraId="26C7F5E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14:paraId="6030D99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14:paraId="4D190ED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14:paraId="762AF9A1" w14:textId="77777777" w:rsidTr="00373E63">
        <w:trPr>
          <w:trHeight w:val="302"/>
        </w:trPr>
        <w:tc>
          <w:tcPr>
            <w:tcW w:w="285" w:type="pct"/>
            <w:vMerge w:val="restart"/>
            <w:vAlign w:val="center"/>
          </w:tcPr>
          <w:p w14:paraId="2038B8B7" w14:textId="77777777"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14:paraId="3B130F5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14:paraId="65401B5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屋頂柱高</w:t>
            </w:r>
          </w:p>
        </w:tc>
        <w:tc>
          <w:tcPr>
            <w:tcW w:w="365" w:type="pct"/>
            <w:vAlign w:val="center"/>
          </w:tcPr>
          <w:p w14:paraId="67652B1F"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2F343AA6" w14:textId="77777777" w:rsidR="00373E63" w:rsidRPr="00EF6059" w:rsidRDefault="00373E63" w:rsidP="00373E63">
            <w:pPr>
              <w:jc w:val="center"/>
              <w:rPr>
                <w:rFonts w:eastAsia="標楷體"/>
                <w:color w:val="000000" w:themeColor="text1"/>
              </w:rPr>
            </w:pPr>
          </w:p>
        </w:tc>
        <w:tc>
          <w:tcPr>
            <w:tcW w:w="3214" w:type="pct"/>
            <w:vAlign w:val="center"/>
          </w:tcPr>
          <w:p w14:paraId="01BACBD9"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設置之棚架式太陽光電發電系統住高起算點為屋頂下緣算起</w:t>
            </w:r>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14:paraId="6965EA07" w14:textId="77777777" w:rsidTr="00373E63">
        <w:trPr>
          <w:trHeight w:val="265"/>
        </w:trPr>
        <w:tc>
          <w:tcPr>
            <w:tcW w:w="285" w:type="pct"/>
            <w:vMerge/>
            <w:vAlign w:val="center"/>
          </w:tcPr>
          <w:p w14:paraId="69B77F5D" w14:textId="77777777" w:rsidR="00373E63" w:rsidRPr="00EF6059" w:rsidRDefault="00373E63" w:rsidP="00373E63">
            <w:pPr>
              <w:rPr>
                <w:rFonts w:eastAsia="標楷體"/>
                <w:color w:val="000000" w:themeColor="text1"/>
              </w:rPr>
            </w:pPr>
          </w:p>
        </w:tc>
        <w:tc>
          <w:tcPr>
            <w:tcW w:w="670" w:type="pct"/>
            <w:vAlign w:val="center"/>
          </w:tcPr>
          <w:p w14:paraId="3F9DF684"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14:paraId="2A06F6BA" w14:textId="77777777" w:rsidR="00373E63" w:rsidRPr="00EF6059" w:rsidRDefault="00373E63" w:rsidP="00373E63">
            <w:pPr>
              <w:jc w:val="center"/>
              <w:rPr>
                <w:rFonts w:eastAsia="標楷體"/>
                <w:color w:val="000000" w:themeColor="text1"/>
              </w:rPr>
            </w:pPr>
          </w:p>
        </w:tc>
        <w:tc>
          <w:tcPr>
            <w:tcW w:w="466" w:type="pct"/>
            <w:vAlign w:val="center"/>
          </w:tcPr>
          <w:p w14:paraId="68341010"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14:paraId="3059357E"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14:paraId="7181FD24" w14:textId="77777777" w:rsidTr="00373E63">
        <w:trPr>
          <w:trHeight w:val="265"/>
        </w:trPr>
        <w:tc>
          <w:tcPr>
            <w:tcW w:w="285" w:type="pct"/>
            <w:vMerge/>
            <w:vAlign w:val="center"/>
          </w:tcPr>
          <w:p w14:paraId="05D004C9" w14:textId="77777777" w:rsidR="00373E63" w:rsidRPr="00EF6059" w:rsidRDefault="00373E63" w:rsidP="00373E63">
            <w:pPr>
              <w:rPr>
                <w:rFonts w:eastAsia="標楷體"/>
                <w:color w:val="000000" w:themeColor="text1"/>
              </w:rPr>
            </w:pPr>
          </w:p>
        </w:tc>
        <w:tc>
          <w:tcPr>
            <w:tcW w:w="670" w:type="pct"/>
            <w:vAlign w:val="center"/>
          </w:tcPr>
          <w:p w14:paraId="1854384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14:paraId="71FF2061"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638A125C" w14:textId="77777777" w:rsidR="00373E63" w:rsidRPr="00EF6059" w:rsidRDefault="00373E63" w:rsidP="00373E63">
            <w:pPr>
              <w:jc w:val="center"/>
              <w:rPr>
                <w:rFonts w:eastAsia="標楷體"/>
                <w:color w:val="000000" w:themeColor="text1"/>
              </w:rPr>
            </w:pPr>
          </w:p>
        </w:tc>
        <w:tc>
          <w:tcPr>
            <w:tcW w:w="3214" w:type="pct"/>
            <w:vAlign w:val="center"/>
          </w:tcPr>
          <w:p w14:paraId="42EF4DA1"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r w:rsidRPr="00EF6059">
              <w:rPr>
                <w:rFonts w:eastAsia="標楷體"/>
                <w:color w:val="000000" w:themeColor="text1"/>
              </w:rPr>
              <w:t>需包覆由地面起算高度達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14:paraId="378DAF59" w14:textId="77777777" w:rsidTr="00373E63">
        <w:trPr>
          <w:trHeight w:val="266"/>
        </w:trPr>
        <w:tc>
          <w:tcPr>
            <w:tcW w:w="285" w:type="pct"/>
            <w:vMerge/>
          </w:tcPr>
          <w:p w14:paraId="22D93E3F" w14:textId="77777777" w:rsidR="00373E63" w:rsidRPr="00EF6059" w:rsidRDefault="00373E63" w:rsidP="00373E63">
            <w:pPr>
              <w:rPr>
                <w:rFonts w:eastAsia="標楷體"/>
                <w:color w:val="000000" w:themeColor="text1"/>
              </w:rPr>
            </w:pPr>
          </w:p>
        </w:tc>
        <w:tc>
          <w:tcPr>
            <w:tcW w:w="670" w:type="pct"/>
            <w:vAlign w:val="center"/>
          </w:tcPr>
          <w:p w14:paraId="0335CD95" w14:textId="77777777"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14:paraId="421C86AD" w14:textId="77777777" w:rsidR="00373E63" w:rsidRPr="00EF6059" w:rsidRDefault="00373E63" w:rsidP="00373E63">
            <w:pPr>
              <w:jc w:val="center"/>
              <w:rPr>
                <w:rFonts w:eastAsia="標楷體"/>
                <w:color w:val="000000" w:themeColor="text1"/>
              </w:rPr>
            </w:pPr>
          </w:p>
        </w:tc>
        <w:tc>
          <w:tcPr>
            <w:tcW w:w="466" w:type="pct"/>
            <w:vAlign w:val="center"/>
          </w:tcPr>
          <w:p w14:paraId="5B676182" w14:textId="77777777"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14:paraId="28148DB9" w14:textId="77777777"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14:paraId="3CA65144" w14:textId="77777777" w:rsidTr="00373E63">
        <w:trPr>
          <w:trHeight w:val="266"/>
        </w:trPr>
        <w:tc>
          <w:tcPr>
            <w:tcW w:w="285" w:type="pct"/>
            <w:vMerge/>
          </w:tcPr>
          <w:p w14:paraId="518CCB90" w14:textId="77777777" w:rsidR="00373E63" w:rsidRPr="00EF6059" w:rsidRDefault="00373E63" w:rsidP="00373E63">
            <w:pPr>
              <w:rPr>
                <w:rFonts w:eastAsia="標楷體"/>
                <w:color w:val="000000" w:themeColor="text1"/>
              </w:rPr>
            </w:pPr>
          </w:p>
        </w:tc>
        <w:tc>
          <w:tcPr>
            <w:tcW w:w="670" w:type="pct"/>
            <w:vAlign w:val="center"/>
          </w:tcPr>
          <w:p w14:paraId="216A322D" w14:textId="77777777"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14:paraId="02139A2E" w14:textId="77777777" w:rsidR="00373E63" w:rsidRPr="00EF6059" w:rsidRDefault="00373E63" w:rsidP="00373E63">
            <w:pPr>
              <w:jc w:val="center"/>
              <w:rPr>
                <w:rFonts w:eastAsia="標楷體"/>
                <w:color w:val="000000" w:themeColor="text1"/>
              </w:rPr>
            </w:pPr>
          </w:p>
        </w:tc>
        <w:tc>
          <w:tcPr>
            <w:tcW w:w="466" w:type="pct"/>
            <w:vAlign w:val="center"/>
          </w:tcPr>
          <w:p w14:paraId="450E822B" w14:textId="77777777"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14:paraId="58A492F3" w14:textId="77777777"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14:paraId="66868FA9" w14:textId="77777777" w:rsidTr="00373E63">
        <w:trPr>
          <w:trHeight w:val="454"/>
        </w:trPr>
        <w:tc>
          <w:tcPr>
            <w:tcW w:w="285" w:type="pct"/>
            <w:vMerge/>
          </w:tcPr>
          <w:p w14:paraId="53886123" w14:textId="77777777" w:rsidR="00373E63" w:rsidRPr="00EF6059" w:rsidRDefault="00373E63" w:rsidP="00373E63">
            <w:pPr>
              <w:rPr>
                <w:rFonts w:eastAsia="標楷體"/>
                <w:color w:val="000000" w:themeColor="text1"/>
              </w:rPr>
            </w:pPr>
          </w:p>
        </w:tc>
        <w:tc>
          <w:tcPr>
            <w:tcW w:w="670" w:type="pct"/>
            <w:vAlign w:val="center"/>
          </w:tcPr>
          <w:p w14:paraId="320367D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14:paraId="47B35AB4"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46AB7CB0" w14:textId="77777777"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14:paraId="3BDB48D9" w14:textId="77777777"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14:paraId="65D78445" w14:textId="77777777" w:rsidTr="00373E63">
        <w:trPr>
          <w:trHeight w:val="454"/>
        </w:trPr>
        <w:tc>
          <w:tcPr>
            <w:tcW w:w="285" w:type="pct"/>
            <w:vMerge/>
          </w:tcPr>
          <w:p w14:paraId="534236A3" w14:textId="77777777" w:rsidR="00373E63" w:rsidRPr="00EF6059" w:rsidRDefault="00373E63" w:rsidP="00373E63">
            <w:pPr>
              <w:rPr>
                <w:rFonts w:eastAsia="標楷體"/>
                <w:color w:val="000000" w:themeColor="text1"/>
              </w:rPr>
            </w:pPr>
          </w:p>
        </w:tc>
        <w:tc>
          <w:tcPr>
            <w:tcW w:w="670" w:type="pct"/>
            <w:vAlign w:val="center"/>
          </w:tcPr>
          <w:p w14:paraId="2E36E8CD" w14:textId="77777777" w:rsidR="009B54CF" w:rsidRDefault="00373E63" w:rsidP="00373E63">
            <w:pPr>
              <w:jc w:val="center"/>
              <w:rPr>
                <w:rFonts w:eastAsia="標楷體"/>
                <w:color w:val="000000" w:themeColor="text1"/>
              </w:rPr>
            </w:pPr>
            <w:r w:rsidRPr="00EF6059">
              <w:rPr>
                <w:rFonts w:eastAsia="標楷體"/>
                <w:color w:val="000000" w:themeColor="text1"/>
              </w:rPr>
              <w:t>隔離</w:t>
            </w:r>
          </w:p>
          <w:p w14:paraId="0B8DD54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14:paraId="5B3C6966" w14:textId="77777777" w:rsidR="009B54CF" w:rsidRDefault="00373E63" w:rsidP="00373E63">
            <w:pPr>
              <w:jc w:val="center"/>
              <w:rPr>
                <w:rFonts w:eastAsia="標楷體"/>
                <w:color w:val="000000" w:themeColor="text1"/>
              </w:rPr>
            </w:pPr>
            <w:r w:rsidRPr="00EF6059">
              <w:rPr>
                <w:rFonts w:eastAsia="標楷體"/>
                <w:color w:val="000000" w:themeColor="text1"/>
              </w:rPr>
              <w:t>接地</w:t>
            </w:r>
          </w:p>
          <w:p w14:paraId="37A44F0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14:paraId="35780194"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57E15C49" w14:textId="77777777" w:rsidR="00373E63" w:rsidRPr="00EF6059" w:rsidRDefault="00373E63" w:rsidP="00373E63">
            <w:pPr>
              <w:jc w:val="center"/>
              <w:rPr>
                <w:rFonts w:eastAsia="標楷體"/>
                <w:color w:val="000000" w:themeColor="text1"/>
              </w:rPr>
            </w:pPr>
          </w:p>
        </w:tc>
        <w:tc>
          <w:tcPr>
            <w:tcW w:w="3214" w:type="pct"/>
            <w:vAlign w:val="center"/>
          </w:tcPr>
          <w:p w14:paraId="7B9E4E55"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14:paraId="03300FB7"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14:paraId="7FD60437" w14:textId="77777777" w:rsidTr="00373E63">
        <w:trPr>
          <w:trHeight w:val="454"/>
        </w:trPr>
        <w:tc>
          <w:tcPr>
            <w:tcW w:w="285" w:type="pct"/>
            <w:vMerge/>
            <w:vAlign w:val="center"/>
          </w:tcPr>
          <w:p w14:paraId="17FA2C07" w14:textId="77777777" w:rsidR="00373E63" w:rsidRPr="00EF6059" w:rsidRDefault="00373E63" w:rsidP="00373E63">
            <w:pPr>
              <w:jc w:val="center"/>
              <w:rPr>
                <w:rFonts w:eastAsia="標楷體"/>
                <w:color w:val="000000" w:themeColor="text1"/>
              </w:rPr>
            </w:pPr>
          </w:p>
        </w:tc>
        <w:tc>
          <w:tcPr>
            <w:tcW w:w="670" w:type="pct"/>
            <w:vAlign w:val="center"/>
          </w:tcPr>
          <w:p w14:paraId="7377D4AB"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14:paraId="572692F0"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7DDFF3E6" w14:textId="77777777" w:rsidR="00373E63" w:rsidRPr="00EF6059" w:rsidRDefault="00373E63" w:rsidP="00373E63">
            <w:pPr>
              <w:jc w:val="center"/>
              <w:rPr>
                <w:rFonts w:eastAsia="標楷體"/>
                <w:color w:val="000000" w:themeColor="text1"/>
              </w:rPr>
            </w:pPr>
          </w:p>
        </w:tc>
        <w:tc>
          <w:tcPr>
            <w:tcW w:w="3214" w:type="pct"/>
            <w:vAlign w:val="center"/>
          </w:tcPr>
          <w:p w14:paraId="139CC248"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14:paraId="7A971CFE" w14:textId="77777777" w:rsidTr="00373E63">
        <w:trPr>
          <w:trHeight w:val="454"/>
        </w:trPr>
        <w:tc>
          <w:tcPr>
            <w:tcW w:w="285" w:type="pct"/>
            <w:vMerge w:val="restart"/>
            <w:vAlign w:val="center"/>
          </w:tcPr>
          <w:p w14:paraId="506CBDC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14:paraId="76BA12D9"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14:paraId="5B720392"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14:paraId="3FFFD1E1"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54237669" w14:textId="77777777" w:rsidR="00373E63" w:rsidRPr="00EF6059" w:rsidRDefault="00373E63" w:rsidP="00373E63">
            <w:pPr>
              <w:jc w:val="center"/>
              <w:rPr>
                <w:rFonts w:eastAsia="標楷體"/>
                <w:color w:val="000000" w:themeColor="text1"/>
              </w:rPr>
            </w:pPr>
          </w:p>
        </w:tc>
        <w:tc>
          <w:tcPr>
            <w:tcW w:w="3214" w:type="pct"/>
            <w:vAlign w:val="center"/>
          </w:tcPr>
          <w:p w14:paraId="6F827388"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14:paraId="5FB13EE8" w14:textId="77777777" w:rsidTr="00373E63">
        <w:trPr>
          <w:trHeight w:val="253"/>
        </w:trPr>
        <w:tc>
          <w:tcPr>
            <w:tcW w:w="285" w:type="pct"/>
            <w:vMerge/>
          </w:tcPr>
          <w:p w14:paraId="12402E64" w14:textId="77777777" w:rsidR="00373E63" w:rsidRPr="00EF6059" w:rsidRDefault="00373E63" w:rsidP="00373E63">
            <w:pPr>
              <w:rPr>
                <w:rFonts w:eastAsia="標楷體"/>
                <w:color w:val="000000" w:themeColor="text1"/>
              </w:rPr>
            </w:pPr>
          </w:p>
        </w:tc>
        <w:tc>
          <w:tcPr>
            <w:tcW w:w="670" w:type="pct"/>
            <w:vMerge/>
            <w:vAlign w:val="center"/>
          </w:tcPr>
          <w:p w14:paraId="43407E61" w14:textId="77777777" w:rsidR="00373E63" w:rsidRPr="00EF6059" w:rsidRDefault="00373E63" w:rsidP="00373E63">
            <w:pPr>
              <w:jc w:val="center"/>
              <w:rPr>
                <w:rFonts w:eastAsia="標楷體"/>
                <w:color w:val="000000" w:themeColor="text1"/>
              </w:rPr>
            </w:pPr>
          </w:p>
        </w:tc>
        <w:tc>
          <w:tcPr>
            <w:tcW w:w="365" w:type="pct"/>
            <w:vAlign w:val="center"/>
          </w:tcPr>
          <w:p w14:paraId="1C3D3717"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73773DC0" w14:textId="77777777" w:rsidR="00373E63" w:rsidRPr="00EF6059" w:rsidRDefault="00373E63" w:rsidP="00373E63">
            <w:pPr>
              <w:jc w:val="center"/>
              <w:rPr>
                <w:rFonts w:eastAsia="標楷體"/>
                <w:color w:val="000000" w:themeColor="text1"/>
              </w:rPr>
            </w:pPr>
          </w:p>
        </w:tc>
        <w:tc>
          <w:tcPr>
            <w:tcW w:w="3214" w:type="pct"/>
            <w:vAlign w:val="center"/>
          </w:tcPr>
          <w:p w14:paraId="4088EB22"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14:paraId="00C9A059" w14:textId="77777777" w:rsidTr="00373E63">
        <w:trPr>
          <w:trHeight w:val="339"/>
        </w:trPr>
        <w:tc>
          <w:tcPr>
            <w:tcW w:w="285" w:type="pct"/>
            <w:vMerge/>
          </w:tcPr>
          <w:p w14:paraId="2DC73608" w14:textId="77777777" w:rsidR="00373E63" w:rsidRPr="00EF6059" w:rsidRDefault="00373E63" w:rsidP="00373E63">
            <w:pPr>
              <w:rPr>
                <w:rFonts w:eastAsia="標楷體"/>
                <w:color w:val="000000" w:themeColor="text1"/>
              </w:rPr>
            </w:pPr>
          </w:p>
        </w:tc>
        <w:tc>
          <w:tcPr>
            <w:tcW w:w="670" w:type="pct"/>
            <w:vMerge/>
            <w:vAlign w:val="center"/>
          </w:tcPr>
          <w:p w14:paraId="4E708C06" w14:textId="77777777" w:rsidR="00373E63" w:rsidRPr="00EF6059" w:rsidRDefault="00373E63" w:rsidP="00373E63">
            <w:pPr>
              <w:jc w:val="center"/>
              <w:rPr>
                <w:rFonts w:eastAsia="標楷體"/>
                <w:color w:val="000000" w:themeColor="text1"/>
              </w:rPr>
            </w:pPr>
          </w:p>
        </w:tc>
        <w:tc>
          <w:tcPr>
            <w:tcW w:w="365" w:type="pct"/>
            <w:vAlign w:val="center"/>
          </w:tcPr>
          <w:p w14:paraId="4EB8A815"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1D1508AB" w14:textId="77777777" w:rsidR="00373E63" w:rsidRPr="00EF6059" w:rsidRDefault="00373E63" w:rsidP="00373E63">
            <w:pPr>
              <w:jc w:val="center"/>
              <w:rPr>
                <w:rFonts w:eastAsia="標楷體"/>
                <w:color w:val="000000" w:themeColor="text1"/>
              </w:rPr>
            </w:pPr>
          </w:p>
        </w:tc>
        <w:tc>
          <w:tcPr>
            <w:tcW w:w="3214" w:type="pct"/>
            <w:vAlign w:val="center"/>
          </w:tcPr>
          <w:p w14:paraId="4AFA5632" w14:textId="77777777"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太陽光電模組鋁框與鋼構材接觸位置是否加裝鐵氟龍絕緣墊片以隔開二者，避免產生電位差腐蝕</w:t>
            </w:r>
          </w:p>
        </w:tc>
      </w:tr>
      <w:tr w:rsidR="00373E63" w:rsidRPr="00EF6059" w14:paraId="15B402AF" w14:textId="77777777" w:rsidTr="00373E63">
        <w:trPr>
          <w:trHeight w:val="702"/>
        </w:trPr>
        <w:tc>
          <w:tcPr>
            <w:tcW w:w="285" w:type="pct"/>
            <w:vMerge/>
          </w:tcPr>
          <w:p w14:paraId="52192430" w14:textId="77777777" w:rsidR="00373E63" w:rsidRPr="00EF6059" w:rsidRDefault="00373E63" w:rsidP="00373E63">
            <w:pPr>
              <w:rPr>
                <w:rFonts w:eastAsia="標楷體"/>
                <w:color w:val="000000" w:themeColor="text1"/>
              </w:rPr>
            </w:pPr>
          </w:p>
        </w:tc>
        <w:tc>
          <w:tcPr>
            <w:tcW w:w="670" w:type="pct"/>
            <w:vMerge/>
            <w:vAlign w:val="center"/>
          </w:tcPr>
          <w:p w14:paraId="298E2593" w14:textId="77777777" w:rsidR="00373E63" w:rsidRPr="00EF6059" w:rsidRDefault="00373E63" w:rsidP="00373E63">
            <w:pPr>
              <w:jc w:val="center"/>
              <w:rPr>
                <w:rFonts w:eastAsia="標楷體"/>
                <w:color w:val="000000" w:themeColor="text1"/>
              </w:rPr>
            </w:pPr>
          </w:p>
        </w:tc>
        <w:tc>
          <w:tcPr>
            <w:tcW w:w="365" w:type="pct"/>
            <w:vAlign w:val="center"/>
          </w:tcPr>
          <w:p w14:paraId="4D443911"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4D4E11A6" w14:textId="77777777" w:rsidR="00373E63" w:rsidRPr="00EF6059" w:rsidRDefault="00373E63" w:rsidP="00373E63">
            <w:pPr>
              <w:jc w:val="center"/>
              <w:rPr>
                <w:rFonts w:eastAsia="標楷體"/>
                <w:color w:val="000000" w:themeColor="text1"/>
              </w:rPr>
            </w:pPr>
          </w:p>
        </w:tc>
        <w:tc>
          <w:tcPr>
            <w:tcW w:w="3214" w:type="pct"/>
            <w:vAlign w:val="center"/>
          </w:tcPr>
          <w:p w14:paraId="4707EA4A" w14:textId="77777777"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螺絲組與太陽光電模組鋁框接觸處之平板華司下方應再加裝鐵氟龍絕緣墊片以隔開螺絲組及模組鋁框</w:t>
            </w:r>
          </w:p>
        </w:tc>
      </w:tr>
    </w:tbl>
    <w:p w14:paraId="35D7B955" w14:textId="77777777"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14:paraId="2FEDCFD7" w14:textId="77777777"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14:paraId="514B3C67" w14:textId="77777777"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1039"/>
        <w:gridCol w:w="634"/>
        <w:gridCol w:w="809"/>
        <w:gridCol w:w="5583"/>
      </w:tblGrid>
      <w:tr w:rsidR="00373E63" w:rsidRPr="00EF6059" w14:paraId="009D4BE0" w14:textId="77777777" w:rsidTr="00373E63">
        <w:trPr>
          <w:trHeight w:val="454"/>
        </w:trPr>
        <w:tc>
          <w:tcPr>
            <w:tcW w:w="357" w:type="pct"/>
            <w:vAlign w:val="center"/>
          </w:tcPr>
          <w:p w14:paraId="4E591854"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14:paraId="4B073158" w14:textId="77777777"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14:paraId="6DFCED35"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14:paraId="1B250E35"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14:paraId="779EB5C8"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14:paraId="1EB0B225" w14:textId="77777777" w:rsidR="00373E63" w:rsidRPr="00EF6059" w:rsidRDefault="00373E63" w:rsidP="00373E63">
            <w:pPr>
              <w:autoSpaceDE w:val="0"/>
              <w:autoSpaceDN w:val="0"/>
              <w:snapToGrid w:val="0"/>
              <w:ind w:right="96"/>
              <w:jc w:val="center"/>
              <w:rPr>
                <w:rFonts w:eastAsia="標楷體"/>
                <w:color w:val="000000" w:themeColor="text1"/>
                <w:kern w:val="0"/>
              </w:rPr>
            </w:pPr>
            <w:r w:rsidRPr="00EF6059">
              <w:rPr>
                <w:rFonts w:eastAsia="標楷體"/>
                <w:color w:val="000000" w:themeColor="text1"/>
                <w:kern w:val="0"/>
                <w:sz w:val="22"/>
                <w:lang w:eastAsia="en-US"/>
              </w:rPr>
              <w:t>項目</w:t>
            </w:r>
          </w:p>
        </w:tc>
        <w:tc>
          <w:tcPr>
            <w:tcW w:w="3214" w:type="pct"/>
            <w:vAlign w:val="center"/>
          </w:tcPr>
          <w:p w14:paraId="7BAEEBE9" w14:textId="77777777" w:rsidR="00373E63" w:rsidRPr="00EF6059" w:rsidRDefault="00373E63" w:rsidP="00373E63">
            <w:pPr>
              <w:autoSpaceDE w:val="0"/>
              <w:autoSpaceDN w:val="0"/>
              <w:snapToGrid w:val="0"/>
              <w:ind w:right="96"/>
              <w:jc w:val="both"/>
              <w:rPr>
                <w:rFonts w:eastAsia="標楷體"/>
                <w:color w:val="000000" w:themeColor="text1"/>
                <w:kern w:val="0"/>
              </w:rPr>
            </w:pPr>
            <w:r w:rsidRPr="00EF6059">
              <w:rPr>
                <w:rFonts w:eastAsia="標楷體"/>
                <w:color w:val="000000" w:themeColor="text1"/>
                <w:kern w:val="0"/>
                <w:lang w:eastAsia="en-US"/>
              </w:rPr>
              <w:t>項目</w:t>
            </w:r>
          </w:p>
        </w:tc>
      </w:tr>
      <w:tr w:rsidR="00373E63" w:rsidRPr="00EF6059" w14:paraId="57F6B0B8" w14:textId="77777777" w:rsidTr="00373E63">
        <w:trPr>
          <w:trHeight w:val="454"/>
        </w:trPr>
        <w:tc>
          <w:tcPr>
            <w:tcW w:w="357" w:type="pct"/>
            <w:vMerge w:val="restart"/>
            <w:vAlign w:val="center"/>
          </w:tcPr>
          <w:p w14:paraId="2D74782A"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14:paraId="6832A80B"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14:paraId="7A658998"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14:paraId="245C7B6A"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14:paraId="0AF75A44" w14:textId="77777777"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14:paraId="4E4EA47D"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14:paraId="3A093BAF" w14:textId="77777777"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14:paraId="0F436E1C"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14:paraId="28E3F13B" w14:textId="77777777"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14:paraId="4BAA1BBB" w14:textId="77777777"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構設計應符合「建築物耐風設計規範及解說」之規定，惟依據「國有公用不動產設置太陽光電發電設備租賃契約書」訂定基本設計風速在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14:paraId="22743140" w14:textId="77777777" w:rsidTr="00373E63">
        <w:trPr>
          <w:trHeight w:val="454"/>
        </w:trPr>
        <w:tc>
          <w:tcPr>
            <w:tcW w:w="357" w:type="pct"/>
            <w:vMerge/>
          </w:tcPr>
          <w:p w14:paraId="2DE6703E"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7C6CB57D"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717B7ABD"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29208817"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6011B5B1"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結構設計是否依建築物耐風設計規範進行設計與檢核，其中用途係數（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），採</w:t>
            </w:r>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14:paraId="2A38FCF9" w14:textId="77777777" w:rsidTr="00373E63">
        <w:trPr>
          <w:trHeight w:val="454"/>
        </w:trPr>
        <w:tc>
          <w:tcPr>
            <w:tcW w:w="357" w:type="pct"/>
            <w:vMerge/>
          </w:tcPr>
          <w:p w14:paraId="5E9237F2"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2A7914A2"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02195CE7"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220DB96D"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038F4439"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14:paraId="123FF515" w14:textId="77777777" w:rsidTr="00373E63">
        <w:trPr>
          <w:trHeight w:val="454"/>
        </w:trPr>
        <w:tc>
          <w:tcPr>
            <w:tcW w:w="357" w:type="pct"/>
            <w:vMerge/>
          </w:tcPr>
          <w:p w14:paraId="674DB41F"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2B03F709"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5228CBB7"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021C1535"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0A66510C"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螺絲組（包含螺絲、螺帽、平華司與彈簧華司等）是否為同一材質，可為熱浸鍍鋅或電鍍鋅材質或不銹鋼材質等抗腐蝕材質，並取得抗腐蝕品質測試報告</w:t>
            </w:r>
          </w:p>
        </w:tc>
      </w:tr>
      <w:tr w:rsidR="00373E63" w:rsidRPr="00EF6059" w14:paraId="26AA30F1" w14:textId="77777777" w:rsidTr="00373E63">
        <w:trPr>
          <w:trHeight w:val="454"/>
        </w:trPr>
        <w:tc>
          <w:tcPr>
            <w:tcW w:w="357" w:type="pct"/>
            <w:vMerge/>
          </w:tcPr>
          <w:p w14:paraId="3AA9E82F"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233D1B32" w14:textId="77777777"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14:paraId="7A490D4D"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5F902F64"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3977093D"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片彈簧華司、至少</w:t>
            </w:r>
            <w:r w:rsidRPr="00EF6059">
              <w:rPr>
                <w:rFonts w:eastAsia="標楷體"/>
                <w:color w:val="000000" w:themeColor="text1"/>
                <w:kern w:val="0"/>
              </w:rPr>
              <w:t xml:space="preserve"> 2 </w:t>
            </w:r>
            <w:r w:rsidRPr="00EF6059">
              <w:rPr>
                <w:rFonts w:eastAsia="標楷體"/>
                <w:color w:val="000000" w:themeColor="text1"/>
                <w:kern w:val="0"/>
              </w:rPr>
              <w:t>片平板華司、至少</w:t>
            </w:r>
            <w:r w:rsidRPr="00EF6059">
              <w:rPr>
                <w:rFonts w:eastAsia="標楷體"/>
                <w:color w:val="000000" w:themeColor="text1"/>
                <w:kern w:val="0"/>
              </w:rPr>
              <w:t xml:space="preserve"> 1 </w:t>
            </w:r>
            <w:r w:rsidRPr="00EF6059">
              <w:rPr>
                <w:rFonts w:eastAsia="標楷體"/>
                <w:color w:val="000000" w:themeColor="text1"/>
                <w:kern w:val="0"/>
              </w:rPr>
              <w:t>個抗腐蝕六角螺帽以及於六角螺帽上再套上</w:t>
            </w:r>
            <w:r w:rsidRPr="00EF6059">
              <w:rPr>
                <w:rFonts w:eastAsia="標楷體"/>
                <w:color w:val="000000" w:themeColor="text1"/>
                <w:kern w:val="0"/>
              </w:rPr>
              <w:t xml:space="preserve"> 1 </w:t>
            </w:r>
            <w:r w:rsidRPr="00EF6059">
              <w:rPr>
                <w:rFonts w:eastAsia="標楷體"/>
                <w:color w:val="000000" w:themeColor="text1"/>
                <w:kern w:val="0"/>
              </w:rPr>
              <w:t>個抗腐蝕六角蓋型螺帽</w:t>
            </w:r>
          </w:p>
        </w:tc>
      </w:tr>
      <w:tr w:rsidR="00373E63" w:rsidRPr="00EF6059" w14:paraId="43329226" w14:textId="77777777" w:rsidTr="00373E63">
        <w:trPr>
          <w:trHeight w:val="454"/>
        </w:trPr>
        <w:tc>
          <w:tcPr>
            <w:tcW w:w="357" w:type="pct"/>
            <w:vMerge w:val="restart"/>
            <w:vAlign w:val="center"/>
          </w:tcPr>
          <w:p w14:paraId="6A2467D6"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支撐架金屬基材耐腐蝕性能</w:t>
            </w:r>
          </w:p>
        </w:tc>
        <w:tc>
          <w:tcPr>
            <w:tcW w:w="598" w:type="pct"/>
            <w:vMerge w:val="restart"/>
            <w:vAlign w:val="center"/>
          </w:tcPr>
          <w:p w14:paraId="11B0783A"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支撐架金屬基材耐腐蝕性能</w:t>
            </w:r>
          </w:p>
        </w:tc>
        <w:tc>
          <w:tcPr>
            <w:tcW w:w="365" w:type="pct"/>
            <w:vAlign w:val="center"/>
          </w:tcPr>
          <w:p w14:paraId="3A0109BC"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54DF41C5"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13EAFF8E"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14:paraId="395AAE06" w14:textId="77777777"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若採用鋼構基材，應為一般結構用鋼材（如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等）或冷軋鋼構材外加表面防蝕處理，或耐候鋼材（如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14:paraId="66D2E1F0" w14:textId="77777777"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14:paraId="4E105DB5" w14:textId="77777777" w:rsidTr="00373E63">
        <w:trPr>
          <w:trHeight w:val="454"/>
        </w:trPr>
        <w:tc>
          <w:tcPr>
            <w:tcW w:w="357" w:type="pct"/>
            <w:vMerge/>
          </w:tcPr>
          <w:p w14:paraId="061D8D1B"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36BAFB5B"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14:paraId="3E49B4E4"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2CAD58B5"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1130F558"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14:paraId="1E40DF6D" w14:textId="77777777"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u w:val="single"/>
              </w:rPr>
              <w:t>鋼構</w:t>
            </w:r>
            <w:r w:rsidRPr="00EF6059">
              <w:rPr>
                <w:rFonts w:eastAsia="標楷體"/>
                <w:color w:val="000000" w:themeColor="text1"/>
                <w:kern w:val="0"/>
              </w:rPr>
              <w:t>基材表面處理，須以設置地點符合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年（含）以上抗腐蝕性能進行表面處理，並由專業機構提出施作說明與品質保證證明</w:t>
            </w:r>
          </w:p>
          <w:p w14:paraId="39C823C0" w14:textId="77777777"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基材表面處理，其表面處理方式採陽極處理厚度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以上之壓克力透明漆之表面防蝕處理，除鋁擠型構材外的鋁合金板、小配件等之表面處理方式可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14:paraId="64E7C43D" w14:textId="77777777"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14:paraId="2A60500C" w14:textId="77777777"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14:paraId="4BEBA7D0" w14:textId="77777777"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14:paraId="2A91AD08" w14:textId="77777777"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20E82BF6" wp14:editId="05EB4ECB">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818EB53"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PtM8MA&#10;AADbAAAADwAAAGRycy9kb3ducmV2LnhtbESPQWvCQBSE7wX/w/IEb3VjDlJTN0GKQr0IapEeX7Mv&#10;ydLs27C71fjv3UKhx2FmvmHW1Wh7cSUfjGMFi3kGgrh22nCr4OO8e34BESKyxt4xKbhTgKqcPK2x&#10;0O7GR7qeYisShEOBCroYh0LKUHdkMczdQJy8xnmLMUnfSu3xluC2l3mWLaVFw2mhw4HeOqq/Tz9W&#10;ATf75cqYQxP85mIv27z5/GqlUrPpuHkFEWmM/+G/9rtWkC/g90v6AbJ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PtM8MAAADbAAAADwAAAAAAAAAAAAAAAACYAgAAZHJzL2Rv&#10;d25yZXYueG1sUEsFBgAAAAAEAAQA9QAAAIgDAAAAAA==&#10;" fillcolor="#eeece1 [3214]" stroked="f" strokeweight="2pt"/>
                <v:rect id="矩形 22" o:spid="_x0000_s1028" style="position:absolute;left:16687;top:76;width:5944;height:10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FzRMMA&#10;AADbAAAADwAAAGRycy9kb3ducmV2LnhtbESPzWrDMBCE74W8g9hAbo1cH0LjRDahJNBcCvkh5Li1&#10;1raotTKSmrhvHxUKPQ4z8w2zrkbbixv5YBwreJlnIIhrpw23Cs6n3fMriBCRNfaOScEPBajKydMa&#10;C+3ufKDbMbYiQTgUqKCLcSikDHVHFsPcDcTJa5y3GJP0rdQe7wlue5ln2UJaNJwWOhzoraP66/ht&#10;FXCzXyyN+WiC31zsZZs3189WKjWbjpsViEhj/A//td+1gjyH3y/pB8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FzRMMAAADbAAAADwAAAAAAAAAAAAAAAACYAgAAZHJzL2Rv&#10;d25yZXYueG1sUEsFBgAAAAAEAAQA9QAAAIgDAAAAAA==&#10;" fillcolor="#eeece1 [3214]" stroked="f" strokeweight="2pt"/>
              </v:group>
            </w:pict>
          </mc:Fallback>
        </mc:AlternateContent>
      </w:r>
      <w:r w:rsidRPr="00EF6059">
        <w:rPr>
          <w:rFonts w:eastAsia="標楷體"/>
          <w:noProof/>
          <w:color w:val="000000" w:themeColor="text1"/>
          <w:kern w:val="0"/>
        </w:rPr>
        <w:drawing>
          <wp:inline distT="0" distB="0" distL="0" distR="0" wp14:anchorId="2F3A6DBB" wp14:editId="6F906A4F">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14:paraId="31A7D6E9" w14:textId="77777777"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14:paraId="0EEC7BAB"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14:paraId="21510C7D"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124B4E91" wp14:editId="6E11B982">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14:paraId="2C9D299C" w14:textId="77777777" w:rsidR="002E54CB" w:rsidRPr="00C1358C" w:rsidRDefault="002E54CB"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24B4E91"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5//aTBAAAA2gAAAA8AAABkcnMvZG93bnJldi54bWxET8tqAjEU3Rf8h3AFN6Vm6mIoU6PUR7FQ&#10;utBR0N1lcjszOLkJSdTp3zeFgsvDeU/nvenElXxoLSt4HmcgiCurW64V7Mv3pxcQISJr7CyTgh8K&#10;MJ8NHqZYaHvjLV13sRYphEOBCpoYXSFlqBoyGMbWESfu23qDMUFfS+3xlsJNJydZlkuDLaeGBh0t&#10;G6rOu4tJM07xtDmuS3brw9fjov0svctXSo2G/dsriEh9vIv/3R9aQQ5/V5If5Ow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5//aTBAAAA2gAAAA8AAAAAAAAAAAAAAAAAnwIA&#10;AGRycy9kb3ducmV2LnhtbFBLBQYAAAAABAAEAPcAAACNAwAAAAA=&#10;">
                  <v:imagedata r:id="rId13" o:title=""/>
                  <v:path arrowok="t"/>
                </v:shape>
                <v:line id="直線接點 31" o:spid="_x0000_s1036" style="position:absolute;flip:x;visibility:visible;mso-wrap-style:square" from="11201,1981" to="15697,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0JX8MAAADbAAAADwAAAGRycy9kb3ducmV2LnhtbESPQWsCMRSE7wX/Q3hCL0WztiB1NUpR&#10;BKEn1+L5sXluVjcvyyZ1Y399Iwgeh5n5hlmsom3ElTpfO1YwGWcgiEuna64U/By2o08QPiBrbByT&#10;ght5WC0HLwvMtet5T9ciVCJB2OeowITQ5lL60pBFP3YtcfJOrrMYkuwqqTvsE9w28j3LptJizWnB&#10;YEtrQ+Wl+LUKYj/dnNezvzfzjRx2lS3i5XhT6nUYv+YgAsXwDD/aO63gYwL3L+k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9CV/DAAAA2wAAAA8AAAAAAAAAAAAA&#10;AAAAoQIAAGRycy9kb3ducmV2LnhtbFBLBQYAAAAABAAEAPkAAACRAwAAAAA=&#10;" strokecolor="#4579b8 [3044]" strokeweight="2.75pt"/>
                <v:line id="直線接點 32" o:spid="_x0000_s1037" style="position:absolute;visibility:visible;mso-wrap-style:square" from="15240,1981" to="21031,4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DJ7MQAAADbAAAADwAAAGRycy9kb3ducmV2LnhtbESPQWvCQBSE70L/w/IEb7ox2iLRVUqr&#10;INge1Bavj+wzCWbfht1Vk3/vFgoeh5n5hlmsWlOLGzlfWVYwHiUgiHOrKy4U/Bw3wxkIH5A11pZJ&#10;QUceVsuX3gIzbe+8p9shFCJC2GeooAyhyaT0eUkG/cg2xNE7W2cwROkKqR3eI9zUMk2SN2mw4rhQ&#10;YkMfJeWXw9UoWNvud79z69N31b3upsfZVzr5zJUa9Nv3OYhAbXiG/9tbrWCSwt+X+APk8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0MnsxAAAANsAAAAPAAAAAAAAAAAA&#10;AAAAAKECAABkcnMvZG93bnJldi54bWxQSwUGAAAAAAQABAD5AAAAkgMAAAAA&#10;" strokecolor="#4579b8 [3044]" strokeweight="2.25pt"/>
                <v:shape id="_x0000_s1038" type="#_x0000_t202" style="position:absolute;left:23622;width:9601;height:5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a9tcQA&#10;AADbAAAADwAAAGRycy9kb3ducmV2LnhtbESPzWrCQBSF90LfYbiF7szEtoaSOooUBBEXNXbR5SVz&#10;m0mTuRMzY4xv3ykILg/n5+MsVqNtxUC9rx0rmCUpCOLS6ZorBV/HzfQNhA/IGlvHpOBKHlbLh8kC&#10;c+0ufKChCJWII+xzVGBC6HIpfWnIok9cRxy9H9dbDFH2ldQ9XuK4beVzmmbSYs2RYLCjD0NlU5xt&#10;hOx9eT640+9s38hv02Q4/zQ7pZ4ex/U7iEBjuIdv7a1W8PIK/1/iD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WvbXEAAAA2wAAAA8AAAAAAAAAAAAAAAAAmAIAAGRycy9k&#10;b3ducmV2LnhtbFBLBQYAAAAABAAEAPUAAACJAwAAAAA=&#10;" stroked="f">
                  <v:textbox style="mso-fit-shape-to-text:t">
                    <w:txbxContent>
                      <w:p w14:paraId="2C9D299C" w14:textId="77777777" w:rsidR="002E54CB" w:rsidRPr="00C1358C" w:rsidRDefault="002E54CB"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0EM8MAAADbAAAADwAAAGRycy9kb3ducmV2LnhtbESPQWvCQBSE74L/YXlCb7rREpHUVYog&#10;lIKHaEuvj+wzic2+DdmnRn99tyB4HGbmG2a57l2jLtSF2rOB6SQBRVx4W3Np4OuwHS9ABUG22Hgm&#10;AzcKsF4NB0vMrL9yTpe9lCpCOGRooBJpM61DUZHDMPEtcfSOvnMoUXalth1eI9w1epYkc+2w5rhQ&#10;YUubiorf/dkZ2O6+T/a8+PnM5ZZimMshzad3Y15G/fsbKKFenuFH+8MaeE3h/0v8AXr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tBDPDAAAA2wAAAA8AAAAAAAAAAAAA&#10;AAAAoQIAAGRycy9kb3ducmV2LnhtbFBLBQYAAAAABAAEAPkAAACRAw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14:paraId="3D58E82F"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16D02593"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4A3E2B5A"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4E120951" w14:textId="77777777" w:rsidR="00373E63" w:rsidRPr="00EF6059" w:rsidRDefault="00373E63" w:rsidP="00373E63">
      <w:pPr>
        <w:widowControl/>
        <w:overflowPunct w:val="0"/>
        <w:spacing w:line="500" w:lineRule="exact"/>
        <w:ind w:left="2250"/>
        <w:jc w:val="center"/>
        <w:rPr>
          <w:rFonts w:eastAsia="標楷體"/>
          <w:color w:val="000000" w:themeColor="text1"/>
          <w:kern w:val="0"/>
        </w:rPr>
      </w:pPr>
    </w:p>
    <w:p w14:paraId="24FC384D" w14:textId="77777777"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圖五、主結構柱高起算點</w:t>
      </w:r>
    </w:p>
    <w:p w14:paraId="7B08AD92" w14:textId="77777777"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14:paraId="16F7C4CF"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14:paraId="3A45FBF6"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14:paraId="29DFE024"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14:paraId="0CA67B68" w14:textId="77777777"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8"/>
    <w:p w14:paraId="69D8EC57" w14:textId="77777777"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14:paraId="41EFC236"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14:paraId="25FA6E15" w14:textId="77777777"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14:paraId="135DD4A7"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14:paraId="11B3C6EA"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14:paraId="38E2B3FC"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6C1F8E21"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14:paraId="119C820D"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14:paraId="3C35DC27"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14:paraId="794B9D2E"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bookmarkEnd w:id="12"/>
    <w:p w14:paraId="64D9E5D2"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14:paraId="165289BA" w14:textId="77777777"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t>結構設計應符合「建築物耐風設計規範及解說」之規定，惟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14:paraId="777A4F47"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14:paraId="2A40452A"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14:paraId="7EAA2529"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14:paraId="60608BFB"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72E70036"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14:paraId="23000444"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若採用鋁合金鋁擠型基材，其鋁合金材質應為6005T5或6061T5以上等級，並須符合結構安全要求。其表面處理方式採陽極處理厚度14µm以上及外加一層膜厚7µm 以上之</w:t>
      </w:r>
      <w:r w:rsidRPr="00EF6059">
        <w:rPr>
          <w:rFonts w:ascii="標楷體" w:eastAsia="標楷體" w:hAnsi="標楷體"/>
          <w:color w:val="000000" w:themeColor="text1"/>
          <w:kern w:val="0"/>
          <w:sz w:val="28"/>
          <w:szCs w:val="28"/>
        </w:rPr>
        <w:lastRenderedPageBreak/>
        <w:t>壓克力透明漆之表面防蝕處理，除鋁擠型構材外的鋁合金板、小配件等之表面處理方式可為陽極處理厚度7µm以上及外加一層膜厚7µm以上之壓克力透明漆，且皆需取得具有TAF認可之測試實驗室測試合格報告。</w:t>
      </w:r>
    </w:p>
    <w:p w14:paraId="52B066DD" w14:textId="77777777"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14:paraId="54671509" w14:textId="77777777"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r w:rsidRPr="00EF6059">
        <w:rPr>
          <w:rFonts w:ascii="標楷體" w:eastAsia="標楷體" w:hAnsi="標楷體"/>
          <w:color w:val="000000" w:themeColor="text1"/>
          <w:kern w:val="0"/>
          <w:sz w:val="28"/>
          <w:szCs w:val="28"/>
        </w:rPr>
        <w:t>球場</w:t>
      </w:r>
      <w:bookmarkEnd w:id="17"/>
      <w:bookmarkEnd w:id="18"/>
      <w:bookmarkEnd w:id="19"/>
    </w:p>
    <w:p w14:paraId="119ED190"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14:paraId="14DA4C3E" w14:textId="77777777"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請根據教育部體育署103年度學校運動設施參考手冊，總則第四項風雨球場規劃時僅作籃球教學和休閒運動使用，屋頂挑高須達7公尺。</w:t>
      </w:r>
    </w:p>
    <w:p w14:paraId="15ABB294"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14:paraId="76EE9940" w14:textId="77777777"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3906B034" wp14:editId="50A29E05">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14:paraId="7D255B0B" w14:textId="77777777" w:rsidR="002E54CB" w:rsidRPr="00C1358C" w:rsidRDefault="002E54CB"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1D22B3C7" w14:textId="77777777" w:rsidR="002E54CB" w:rsidRPr="00C1358C" w:rsidRDefault="002E54CB"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575799A8" w14:textId="77777777" w:rsidR="002E54CB" w:rsidRPr="009B54CF" w:rsidRDefault="002E54CB"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3906B034"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LbBHDAAAA2gAAAA8AAABkcnMvZG93bnJldi54bWxEj81qwzAQhO+BvIPYQG+J3FKS4Fo2bSG0&#10;x9RxDrkt1vqHWivXUm3n7atAIcdhZr5hkmw2nRhpcK1lBY+bCARxaXXLtYLidFjvQTiPrLGzTAqu&#10;5CBLl4sEY20n/qIx97UIEHYxKmi872MpXdmQQbexPXHwKjsY9EEOtdQDTgFuOvkURVtpsOWw0GBP&#10;7w2V3/mvUWAOx5/zx5usz/nzdDleKzvKwir1sJpfX0B4mv09/N/+1Ap2cLsSboBM/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AtsEcMAAADaAAAADwAAAAAAAAAAAAAAAACf&#10;AgAAZHJzL2Rvd25yZXYueG1sUEsFBgAAAAAEAAQA9wAAAI8DAAAAAA==&#10;">
                  <v:imagedata r:id="rId15" o:title=""/>
                  <v:path arrowok="t"/>
                </v:shape>
                <v:line id="直線接點 26" o:spid="_x0000_s1042" style="position:absolute;flip:x;visibility:visible;mso-wrap-style:square" from="11658,1143" to="16459,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mZtr8AAADbAAAADwAAAGRycy9kb3ducmV2LnhtbESPzQrCMBCE74LvEFbwpqmCItUoKggK&#10;iviDeFyatS02m9JErW9vBMHjMDPfMJNZbQrxpMrllhX0uhEI4sTqnFMF59OqMwLhPLLGwjIpeJOD&#10;2bTZmGCs7YsP9Dz6VAQIuxgVZN6XsZQuycig69qSOHg3Wxn0QVap1BW+AtwUsh9FQ2kw57CQYUnL&#10;jJL78WEULOw1X9MC97y7JNfe4Ob0Zr9Vqt2q52MQnmr/D//aa62gP4Tvl/AD5PQ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5mZtr8AAADbAAAADwAAAAAAAAAAAAAAAACh&#10;AgAAZHJzL2Rvd25yZXYueG1sUEsFBgAAAAAEAAQA+QAAAI0DAAAAAA==&#10;" strokecolor="#548dd4 [1951]" strokeweight="3pt"/>
                <v:line id="直線接點 27" o:spid="_x0000_s1043" style="position:absolute;visibility:visible;mso-wrap-style:square" from="16230,1219" to="22555,3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V2bcQAAADbAAAADwAAAGRycy9kb3ducmV2LnhtbESPQWvCQBSE74L/YXmFXqRujNJK6ipa&#10;KAjiwTTg9ZF9JsHs27C7xvTfu0Khx2FmvmFWm8G0oifnG8sKZtMEBHFpdcOVguLn+20Jwgdkja1l&#10;UvBLHjbr8WiFmbZ3PlGfh0pECPsMFdQhdJmUvqzJoJ/ajjh6F+sMhihdJbXDe4SbVqZJ8i4NNhwX&#10;auzoq6bymt+MgmO/6CaLtLCH5XlXpMFN9vPrTanXl2H7CSLQEP7Df+29VpB+wPNL/AF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RXZtxAAAANsAAAAPAAAAAAAAAAAA&#10;AAAAAKECAABkcnMvZG93bnJldi54bWxQSwUGAAAAAAQABAD5AAAAkgMAAAAA&#10;" strokecolor="#548dd4 [1951]" strokeweight="3pt"/>
                <v:shape id="_x0000_s1044" type="#_x0000_t202" style="position:absolute;left:22555;width:5867;height:5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G5hMUA&#10;AADcAAAADwAAAGRycy9kb3ducmV2LnhtbESP3WrCQBSE74W+w3IKvZG6sbZGo2tohZbcxvoAx+wx&#10;CWbPhuyan7fvFgq9HGbmG2afjqYRPXWutqxguYhAEBdW11wqOH9/Pm9AOI+ssbFMCiZykB4eZntM&#10;tB04p/7kSxEg7BJUUHnfJlK6oiKDbmFb4uBdbWfQB9mVUnc4BLhp5EsUraXBmsNChS0dKypup7tR&#10;cM2G+dt2uHz5c5y/rj+wji92UurpcXzfgfA0+v/wXzvTClZR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sbmExQAAANwAAAAPAAAAAAAAAAAAAAAAAJgCAABkcnMv&#10;ZG93bnJldi54bWxQSwUGAAAAAAQABAD1AAAAigMAAAAA&#10;" stroked="f">
                  <v:textbox>
                    <w:txbxContent>
                      <w:p w14:paraId="7D255B0B" w14:textId="77777777" w:rsidR="002E54CB" w:rsidRPr="00C1358C" w:rsidRDefault="002E54CB"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1D22B3C7" w14:textId="77777777" w:rsidR="002E54CB" w:rsidRPr="00C1358C" w:rsidRDefault="002E54CB"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575799A8" w14:textId="77777777" w:rsidR="002E54CB" w:rsidRPr="009B54CF" w:rsidRDefault="002E54CB"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td8QAAADbAAAADwAAAGRycy9kb3ducmV2LnhtbESPzYoCMRCE7wu+Q2jBi6wZPag7GkUE&#10;RZBd8OfirZm0k8FJZ0iijm9vFhb2WFTVV9R82dpaPMiHyrGC4SADQVw4XXGp4HzafE5BhIissXZM&#10;Cl4UYLnofMwx1+7JB3ocYykShEOOCkyMTS5lKAxZDAPXECfv6rzFmKQvpfb4THBby1GWjaXFitOC&#10;wYbWhorb8W4VbF/fO79vssvw2qebqfqTffkzUarXbVczEJHa+B/+a++0gtEX/H5JP0Au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8613xAAAANsAAAAPAAAAAAAAAAAA&#10;AAAAAKECAABkcnMvZG93bnJldi54bWxQSwUGAAAAAAQABAD5AAAAkgM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14:paraId="3A7A2303" w14:textId="77777777" w:rsidR="00373E63" w:rsidRPr="00EF6059" w:rsidRDefault="00373E63" w:rsidP="00373E63">
      <w:pPr>
        <w:widowControl/>
        <w:overflowPunct w:val="0"/>
        <w:spacing w:line="500" w:lineRule="exact"/>
        <w:ind w:left="2250"/>
        <w:jc w:val="both"/>
        <w:rPr>
          <w:rFonts w:eastAsia="標楷體"/>
          <w:noProof/>
          <w:color w:val="000000" w:themeColor="text1"/>
          <w:kern w:val="0"/>
        </w:rPr>
      </w:pPr>
    </w:p>
    <w:p w14:paraId="7A9E002E"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1A79D99A"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4F9DAA35" w14:textId="77777777" w:rsidR="00373E63" w:rsidRPr="00EF6059" w:rsidRDefault="00373E63" w:rsidP="00373E63">
      <w:pPr>
        <w:widowControl/>
        <w:overflowPunct w:val="0"/>
        <w:spacing w:line="500" w:lineRule="exact"/>
        <w:ind w:left="2250" w:right="960"/>
        <w:jc w:val="right"/>
        <w:rPr>
          <w:rFonts w:eastAsia="標楷體"/>
          <w:color w:val="000000" w:themeColor="text1"/>
          <w:kern w:val="0"/>
        </w:rPr>
      </w:pPr>
    </w:p>
    <w:p w14:paraId="6E97951C" w14:textId="77777777"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圖五、主結構柱高起算點</w:t>
      </w:r>
    </w:p>
    <w:p w14:paraId="4840358D" w14:textId="77777777"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14:paraId="62534F17" w14:textId="77777777"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14:paraId="310E22A3"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14:paraId="065395AB" w14:textId="77777777"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14:paraId="4FA17B6A" w14:textId="77777777"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14:paraId="0108777D"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14:paraId="3CDCB20E" w14:textId="77777777"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14:paraId="79A78D0A"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14:paraId="2BDAA8A7"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14:paraId="7E84D76B"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49493262"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14:paraId="181EC607"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14:paraId="6F9FA7A6"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14:paraId="5AEF727B"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p w14:paraId="2F07B72B"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14:paraId="560AC855" w14:textId="77777777"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結構設計應符合「建築物耐風設計規範及解說」之規定，惟依據「國有公用不動產設置太陽光電發電設備租賃契約書」訂定基本設計風速在32.5公尺/秒以下地區者，須採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14:paraId="76B44B4E"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14:paraId="7DB9D4C9"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14:paraId="5D25211F"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14:paraId="74749712"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37D49490"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14:paraId="71541813"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若採用鋁合金鋁擠型基材，其鋁合金材質應為6005T5或6061T5以上等級，並須符合結構安全要求。其表面處理方式採陽極處理厚度14µm以上及外加一層膜厚7µm 以上之壓克力透明漆之表面防蝕處理，除鋁擠型構材外的鋁合金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板、小配件等之表面處理方式可為陽極處理厚度7µm以上及外加一層膜厚7µm以上之壓克力透明漆，且皆需取得具有TAF認可之測試實驗室測試合格報告。</w:t>
      </w:r>
    </w:p>
    <w:p w14:paraId="422C80D8" w14:textId="77777777"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14:paraId="4057C6B2" w14:textId="77777777"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
    <w:p w14:paraId="026E678B" w14:textId="77777777"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hint="eastAsia"/>
          <w:color w:val="000000" w:themeColor="text1"/>
          <w:sz w:val="28"/>
          <w:szCs w:val="28"/>
        </w:rPr>
        <w:t>球場面層設計</w:t>
      </w:r>
      <w:r w:rsidRPr="0012081D">
        <w:rPr>
          <w:rFonts w:ascii="標楷體" w:eastAsia="標楷體" w:hAnsi="標楷體"/>
          <w:color w:val="000000" w:themeColor="text1"/>
          <w:sz w:val="28"/>
          <w:szCs w:val="28"/>
        </w:rPr>
        <w:t xml:space="preserve"> </w:t>
      </w:r>
    </w:p>
    <w:p w14:paraId="608700E8" w14:textId="77777777"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面層設計原則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考量風雨球場非能完全阻擋雨水進入，故球場基礎面層建議塗佈潮濕時仍具止滑度之壓克力面材，面層設計如表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14:paraId="363AB414" w14:textId="77777777"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面層施工原則</w:t>
      </w:r>
      <w:r w:rsidR="0012081D" w:rsidRPr="0012081D">
        <w:rPr>
          <w:rFonts w:hAnsi="標楷體" w:cs="新細明體" w:hint="eastAsia"/>
          <w:color w:val="000000" w:themeColor="text1"/>
          <w:sz w:val="28"/>
          <w:szCs w:val="28"/>
          <w:lang w:bidi="ar-SA"/>
        </w:rPr>
        <w:t>：</w:t>
      </w:r>
    </w:p>
    <w:p w14:paraId="051B2E0C"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14:paraId="7EC24079"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14:paraId="7D30520C"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14:paraId="41C88C5F"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14:paraId="45BDF5A6" w14:textId="77777777"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球場規線與規劃，請根據教育部體育署運動設施規範及分級分類參考手冊、教育部體育署</w:t>
      </w:r>
      <w:r w:rsidRPr="0012081D">
        <w:rPr>
          <w:rFonts w:hAnsi="標楷體" w:cs="新細明體"/>
          <w:color w:val="000000" w:themeColor="text1"/>
          <w:sz w:val="28"/>
          <w:szCs w:val="28"/>
          <w:lang w:bidi="ar-SA"/>
        </w:rPr>
        <w:t>103</w:t>
      </w:r>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14:paraId="2385B2AE" w14:textId="77777777"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-1、面層設計原則表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14:paraId="70EEEA35" w14:textId="77777777"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14:paraId="5B247ABA" w14:textId="77777777" w:rsidR="0012081D" w:rsidRPr="002A0E35" w:rsidRDefault="0012081D" w:rsidP="0012081D">
            <w:pPr>
              <w:widowControl/>
              <w:autoSpaceDE w:val="0"/>
              <w:autoSpaceDN w:val="0"/>
              <w:spacing w:before="63"/>
              <w:ind w:left="24"/>
              <w:rPr>
                <w:rFonts w:ascii="Cambria" w:hAnsi="Cambria"/>
                <w:kern w:val="0"/>
                <w:lang w:eastAsia="en-US"/>
              </w:rPr>
            </w:pPr>
            <w:r w:rsidRPr="002A0E35">
              <w:rPr>
                <w:rFonts w:ascii="SimSun" w:eastAsia="SimSun" w:hAnsi="SimSun" w:cs="SimSun"/>
                <w:color w:val="000000"/>
                <w:spacing w:val="-6"/>
                <w:kern w:val="0"/>
                <w:lang w:eastAsia="en-US"/>
              </w:rPr>
              <w:t>材質</w:t>
            </w:r>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14:paraId="21851048" w14:textId="77777777"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規格</w:t>
            </w:r>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14:paraId="08CE646A" w14:textId="77777777"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說明</w:t>
            </w:r>
          </w:p>
        </w:tc>
      </w:tr>
      <w:tr w:rsidR="0012081D" w:rsidRPr="002A0E35" w14:paraId="532EA96E" w14:textId="77777777"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14:paraId="189BD9D5"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最底層：石土壓實</w:t>
            </w:r>
            <w:r w:rsidRPr="002A0E35">
              <w:rPr>
                <w:rFonts w:eastAsia="Times New Roman"/>
                <w:color w:val="000000"/>
                <w:kern w:val="0"/>
              </w:rPr>
              <w:t>(</w:t>
            </w:r>
            <w:r w:rsidRPr="002A0E35">
              <w:rPr>
                <w:rFonts w:ascii="SimSun" w:eastAsia="SimSun" w:hAnsi="SimSun" w:cs="SimSun"/>
                <w:color w:val="000000"/>
                <w:spacing w:val="-1"/>
                <w:kern w:val="0"/>
              </w:rPr>
              <w:t>夯實度</w:t>
            </w:r>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2E008D7B" w14:textId="77777777"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14:paraId="66407E00" w14:textId="77777777" w:rsidR="0012081D" w:rsidRPr="002A0E35" w:rsidRDefault="0012081D" w:rsidP="0012081D">
            <w:pPr>
              <w:widowControl/>
              <w:rPr>
                <w:rFonts w:ascii="Cambria" w:hAnsi="Cambria"/>
                <w:kern w:val="0"/>
              </w:rPr>
            </w:pPr>
          </w:p>
        </w:tc>
      </w:tr>
      <w:tr w:rsidR="0012081D" w:rsidRPr="002A0E35" w14:paraId="726D1932" w14:textId="77777777"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14:paraId="4026BC39" w14:textId="77777777" w:rsidR="0012081D" w:rsidRPr="002A0E35" w:rsidRDefault="0012081D" w:rsidP="0012081D">
            <w:pPr>
              <w:widowControl/>
              <w:spacing w:line="252" w:lineRule="exact"/>
              <w:rPr>
                <w:rFonts w:ascii="Cambria" w:hAnsi="Cambria"/>
                <w:kern w:val="0"/>
              </w:rPr>
            </w:pPr>
          </w:p>
          <w:p w14:paraId="290FB9B0" w14:textId="77777777"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5B536CC1" w14:textId="77777777"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基礎結構採</w:t>
            </w:r>
          </w:p>
          <w:p w14:paraId="2A7FFD75" w14:textId="77777777" w:rsidR="0012081D" w:rsidRPr="002A0E35" w:rsidRDefault="0012081D" w:rsidP="0012081D">
            <w:pPr>
              <w:widowControl/>
              <w:spacing w:line="101" w:lineRule="exact"/>
              <w:rPr>
                <w:rFonts w:ascii="Cambria" w:hAnsi="Cambria"/>
                <w:kern w:val="0"/>
              </w:rPr>
            </w:pPr>
          </w:p>
          <w:p w14:paraId="0B2B4713" w14:textId="77777777"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r w:rsidRPr="002A0E35">
              <w:rPr>
                <w:rFonts w:ascii="SimSun" w:eastAsia="SimSun" w:hAnsi="SimSun" w:cs="SimSun"/>
                <w:color w:val="000000"/>
                <w:spacing w:val="-1"/>
                <w:kern w:val="0"/>
                <w:lang w:eastAsia="en-US"/>
              </w:rPr>
              <w:t>公分以上厚度之級配</w:t>
            </w:r>
          </w:p>
        </w:tc>
        <w:tc>
          <w:tcPr>
            <w:tcW w:w="2693" w:type="dxa"/>
            <w:tcBorders>
              <w:top w:val="single" w:sz="3" w:space="0" w:color="000000"/>
              <w:left w:val="single" w:sz="3" w:space="0" w:color="000000"/>
              <w:bottom w:val="single" w:sz="3" w:space="0" w:color="000000"/>
              <w:right w:val="single" w:sz="3" w:space="0" w:color="000000"/>
            </w:tcBorders>
          </w:tcPr>
          <w:p w14:paraId="16526804" w14:textId="77777777" w:rsidR="0012081D" w:rsidRPr="002A0E35" w:rsidRDefault="0012081D" w:rsidP="0012081D">
            <w:pPr>
              <w:widowControl/>
              <w:rPr>
                <w:rFonts w:ascii="Cambria" w:hAnsi="Cambria"/>
                <w:kern w:val="0"/>
                <w:lang w:eastAsia="en-US"/>
              </w:rPr>
            </w:pPr>
          </w:p>
        </w:tc>
      </w:tr>
      <w:tr w:rsidR="0012081D" w:rsidRPr="002A0E35" w14:paraId="6F63F387" w14:textId="77777777"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14:paraId="5E6C98C2"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072D4596" w14:textId="77777777"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r w:rsidRPr="002A0E35">
              <w:rPr>
                <w:rFonts w:ascii="SimSun" w:eastAsia="SimSun" w:hAnsi="SimSun" w:cs="SimSun"/>
                <w:color w:val="000000"/>
                <w:spacing w:val="-1"/>
                <w:kern w:val="0"/>
              </w:rPr>
              <w:t>厚粗級配瀝青混凝土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14:paraId="6ED34FAD" w14:textId="77777777" w:rsidR="0012081D" w:rsidRPr="002A0E35" w:rsidRDefault="0012081D" w:rsidP="0012081D">
            <w:pPr>
              <w:widowControl/>
              <w:spacing w:line="101" w:lineRule="exact"/>
              <w:rPr>
                <w:rFonts w:ascii="Cambria" w:hAnsi="Cambria"/>
                <w:kern w:val="0"/>
              </w:rPr>
            </w:pPr>
          </w:p>
          <w:p w14:paraId="3BA484ED" w14:textId="77777777"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14:paraId="318C5349" w14:textId="77777777" w:rsidR="0012081D" w:rsidRPr="002A0E35" w:rsidRDefault="0012081D" w:rsidP="0012081D">
            <w:pPr>
              <w:widowControl/>
              <w:rPr>
                <w:rFonts w:ascii="Cambria" w:hAnsi="Cambria"/>
                <w:kern w:val="0"/>
                <w:lang w:eastAsia="en-US"/>
              </w:rPr>
            </w:pPr>
          </w:p>
        </w:tc>
      </w:tr>
      <w:tr w:rsidR="0012081D" w:rsidRPr="002A0E35" w14:paraId="4A03CA02" w14:textId="77777777"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14:paraId="68828457"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721BF902" w14:textId="77777777"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r w:rsidRPr="002A0E35">
              <w:rPr>
                <w:rFonts w:ascii="SimSun" w:eastAsia="SimSun" w:hAnsi="SimSun" w:cs="SimSun"/>
                <w:color w:val="000000"/>
                <w:spacing w:val="-1"/>
                <w:kern w:val="0"/>
              </w:rPr>
              <w:t>厚密級配瀝青混凝土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14:paraId="362CC826" w14:textId="77777777" w:rsidR="0012081D" w:rsidRPr="002A0E35" w:rsidRDefault="0012081D" w:rsidP="0012081D">
            <w:pPr>
              <w:widowControl/>
              <w:spacing w:line="102" w:lineRule="exact"/>
              <w:rPr>
                <w:rFonts w:ascii="Cambria" w:hAnsi="Cambria"/>
                <w:kern w:val="0"/>
              </w:rPr>
            </w:pPr>
          </w:p>
          <w:p w14:paraId="6F072E8C" w14:textId="77777777"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14:paraId="01919B69" w14:textId="77777777"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落與隆起</w:t>
            </w:r>
          </w:p>
        </w:tc>
      </w:tr>
      <w:tr w:rsidR="0012081D" w:rsidRPr="002A0E35" w14:paraId="0735DB03" w14:textId="77777777"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14:paraId="0E6997C8" w14:textId="77777777"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最表層：壓克力面材</w:t>
            </w:r>
            <w:r>
              <w:rPr>
                <w:rFonts w:asciiTheme="minorEastAsia" w:hAnsiTheme="minorEastAsia" w:hint="eastAsia"/>
                <w:color w:val="000000"/>
                <w:spacing w:val="-2"/>
                <w:kern w:val="0"/>
              </w:rPr>
              <w:t>，</w:t>
            </w:r>
            <w:r>
              <w:rPr>
                <w:rFonts w:eastAsia="Times New Roman"/>
                <w:color w:val="000000"/>
                <w:spacing w:val="-2"/>
                <w:kern w:val="0"/>
              </w:rPr>
              <w:t>並</w:t>
            </w:r>
          </w:p>
          <w:p w14:paraId="03F08590" w14:textId="77777777"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14:paraId="3D4097BD" w14:textId="77777777"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道壓克力運動面層</w:t>
            </w:r>
            <w:r w:rsidRPr="003B1646">
              <w:rPr>
                <w:rFonts w:eastAsia="Times New Roman"/>
                <w:color w:val="000000"/>
                <w:spacing w:val="-1"/>
                <w:kern w:val="0"/>
              </w:rPr>
              <w:t>(</w:t>
            </w:r>
            <w:r w:rsidRPr="003B1646">
              <w:rPr>
                <w:rFonts w:ascii="新細明體" w:hAnsi="新細明體" w:cs="新細明體" w:hint="eastAsia"/>
                <w:color w:val="000000"/>
                <w:spacing w:val="-1"/>
                <w:kern w:val="0"/>
              </w:rPr>
              <w:t>含既有面層刨除、修補，施作複合彈性基材、壓克力基材、壓克力面材、畫線）</w:t>
            </w:r>
          </w:p>
        </w:tc>
        <w:tc>
          <w:tcPr>
            <w:tcW w:w="2693" w:type="dxa"/>
            <w:tcBorders>
              <w:top w:val="single" w:sz="3" w:space="0" w:color="000000"/>
              <w:left w:val="single" w:sz="3" w:space="0" w:color="000000"/>
              <w:bottom w:val="single" w:sz="3" w:space="0" w:color="000000"/>
              <w:right w:val="single" w:sz="3" w:space="0" w:color="000000"/>
            </w:tcBorders>
          </w:tcPr>
          <w:p w14:paraId="720A10DD" w14:textId="77777777"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潮濕時具止滑度，彩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層可適當摻入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14:paraId="381FA4C8" w14:textId="77777777" w:rsidR="00373E63" w:rsidRDefault="00373E63" w:rsidP="00373E63">
      <w:pPr>
        <w:pStyle w:val="Default"/>
        <w:rPr>
          <w:sz w:val="28"/>
          <w:szCs w:val="28"/>
        </w:rPr>
      </w:pPr>
    </w:p>
    <w:p w14:paraId="31016A51" w14:textId="77777777" w:rsidR="00373E63" w:rsidRPr="002A0E35" w:rsidRDefault="00373E63" w:rsidP="00373E63">
      <w:pPr>
        <w:pStyle w:val="Default"/>
        <w:spacing w:after="190"/>
        <w:rPr>
          <w:sz w:val="28"/>
          <w:szCs w:val="28"/>
        </w:rPr>
      </w:pPr>
    </w:p>
    <w:p w14:paraId="1E588137" w14:textId="77777777" w:rsidR="00373E63" w:rsidRDefault="00373E63" w:rsidP="00373E63">
      <w:pPr>
        <w:pStyle w:val="Default"/>
        <w:rPr>
          <w:sz w:val="28"/>
          <w:szCs w:val="28"/>
        </w:rPr>
      </w:pPr>
    </w:p>
    <w:p w14:paraId="4461E203" w14:textId="77777777" w:rsidR="00373E63" w:rsidRPr="002A0E35" w:rsidRDefault="00373E63" w:rsidP="00B5065E">
      <w:pPr>
        <w:widowControl/>
        <w:rPr>
          <w:sz w:val="28"/>
          <w:szCs w:val="28"/>
        </w:rPr>
      </w:pPr>
      <w:r>
        <w:rPr>
          <w:sz w:val="28"/>
          <w:szCs w:val="28"/>
        </w:rPr>
        <w:br w:type="page"/>
      </w:r>
      <w:r w:rsidRPr="002A0E35">
        <w:rPr>
          <w:sz w:val="28"/>
          <w:szCs w:val="28"/>
        </w:rPr>
        <w:lastRenderedPageBreak/>
        <w:t>面層設計規劃示意圖</w:t>
      </w:r>
    </w:p>
    <w:p w14:paraId="7A286E6B" w14:textId="77777777" w:rsidR="00373E63" w:rsidRDefault="00373E63" w:rsidP="00373E63">
      <w:pPr>
        <w:pStyle w:val="Default"/>
        <w:spacing w:after="190"/>
      </w:pPr>
      <w:r>
        <w:rPr>
          <w:noProof/>
          <w:lang w:bidi="ar-SA"/>
        </w:rPr>
        <w:drawing>
          <wp:inline distT="0" distB="0" distL="0" distR="0" wp14:anchorId="09950B93" wp14:editId="35E9AD24">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38650" cy="3305175"/>
                    </a:xfrm>
                    <a:prstGeom prst="rect">
                      <a:avLst/>
                    </a:prstGeom>
                  </pic:spPr>
                </pic:pic>
              </a:graphicData>
            </a:graphic>
          </wp:inline>
        </w:drawing>
      </w:r>
    </w:p>
    <w:p w14:paraId="7C20FD32" w14:textId="77777777" w:rsidR="00373E63" w:rsidRPr="002A0E35" w:rsidRDefault="00373E63" w:rsidP="00373E63">
      <w:pPr>
        <w:pStyle w:val="Default"/>
        <w:spacing w:after="190"/>
      </w:pPr>
      <w:r>
        <w:rPr>
          <w:noProof/>
          <w:lang w:bidi="ar-SA"/>
        </w:rPr>
        <w:drawing>
          <wp:inline distT="0" distB="0" distL="0" distR="0" wp14:anchorId="60A41465" wp14:editId="11AF4A20">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14:paraId="189E70F6" w14:textId="77777777" w:rsidR="00373E63" w:rsidRDefault="00373E63" w:rsidP="00373E63">
      <w:pPr>
        <w:widowControl/>
        <w:rPr>
          <w:rFonts w:eastAsia="標楷體"/>
          <w:color w:val="000000" w:themeColor="text1"/>
          <w:kern w:val="0"/>
        </w:rPr>
      </w:pPr>
      <w:r>
        <w:rPr>
          <w:rFonts w:eastAsia="標楷體"/>
          <w:color w:val="000000" w:themeColor="text1"/>
          <w:kern w:val="0"/>
        </w:rPr>
        <w:br w:type="page"/>
      </w:r>
    </w:p>
    <w:p w14:paraId="11604258" w14:textId="77777777"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14:paraId="34DDED8E" w14:textId="77777777"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14:paraId="40EF3448" w14:textId="77777777"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教育部體育署103年度學校運動設施設計參考手冊（依據教育部體育署103年度學校運動設施參考手冊，總則第四項風雨球場規劃時若僅作籃球教學和休閒運動使用，屋頂挑高須達7公尺。）</w:t>
      </w:r>
    </w:p>
    <w:p w14:paraId="33B583E0" w14:textId="77777777"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14:paraId="5590FA6C" w14:textId="77777777"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14:paraId="35E3D71A" w14:textId="77777777"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14:paraId="00BFE06F" w14:textId="77777777"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14:paraId="5C11A996" w14:textId="77777777"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定著於土地上具有頂蓋、樑柱或牆壁，供個人或公眾使用之構造物,應依同法第28條規定申請建造執照;另按該部營建署96年11月6日營署建管字第0962918506號函附會議紀錄結論(一)略以「建築基地範圍內之空地設置之太陽光電發電設備者，因涉建築基地建蔽率、建築面積與整體法定空地之檢討，應依建築法之規定申請雜項執照。」旨揭風雨球場設置地面型太陽光電發電設備，如執照申請項目為「太陽光電發電設備」者，依上開規定係以申請雜項執照方式辦理。</w:t>
      </w:r>
    </w:p>
    <w:p w14:paraId="2CA3C03A"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14:paraId="2112431E"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14:paraId="54A5ABC4"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據彙訂為工作底稿。</w:t>
      </w:r>
    </w:p>
    <w:p w14:paraId="72BB5E2F"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14:paraId="19192511" w14:textId="77777777"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14:paraId="74AFB78B" w14:textId="77777777"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14:paraId="14213C72"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14:paraId="5A189916"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14:paraId="7CB5B941"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14:paraId="6290F1C4" w14:textId="77777777"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14:paraId="6D97CF7B" w14:textId="77777777"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 xml:space="preserve">建築物耐風設計規範及解說 </w:t>
      </w:r>
    </w:p>
    <w:p w14:paraId="73FF955F" w14:textId="77777777"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14:paraId="2F1248BC" w14:textId="77777777" w:rsidR="00373E63" w:rsidRDefault="00373E63" w:rsidP="00373E63">
      <w:pPr>
        <w:widowControl/>
        <w:rPr>
          <w:rFonts w:eastAsia="標楷體"/>
          <w:color w:val="000000" w:themeColor="text1"/>
          <w:kern w:val="0"/>
        </w:rPr>
      </w:pPr>
      <w:r>
        <w:rPr>
          <w:rFonts w:eastAsia="標楷體"/>
          <w:color w:val="000000" w:themeColor="text1"/>
          <w:kern w:val="0"/>
        </w:rPr>
        <w:br w:type="page"/>
      </w:r>
    </w:p>
    <w:p w14:paraId="6B7D2B70" w14:textId="77777777"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467"/>
        <w:gridCol w:w="6841"/>
        <w:gridCol w:w="735"/>
        <w:gridCol w:w="607"/>
      </w:tblGrid>
      <w:tr w:rsidR="00373E63" w:rsidRPr="00EF6059" w14:paraId="69D061BF" w14:textId="77777777" w:rsidTr="00373E63">
        <w:trPr>
          <w:trHeight w:val="210"/>
        </w:trPr>
        <w:tc>
          <w:tcPr>
            <w:tcW w:w="256" w:type="pct"/>
            <w:vAlign w:val="center"/>
          </w:tcPr>
          <w:p w14:paraId="3BF84B0B"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14:paraId="3F63B97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14:paraId="6FCDF2B9"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14:paraId="4AE598C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14:paraId="6522974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14:paraId="7B1182B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14:paraId="154B28AE" w14:textId="77777777" w:rsidTr="00373E63">
        <w:trPr>
          <w:trHeight w:val="302"/>
        </w:trPr>
        <w:tc>
          <w:tcPr>
            <w:tcW w:w="256" w:type="pct"/>
            <w:vMerge w:val="restart"/>
            <w:vAlign w:val="center"/>
          </w:tcPr>
          <w:p w14:paraId="7A42D04C" w14:textId="77777777"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14:paraId="703DF3BC"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14:paraId="13BC6484"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設置之棚架式太陽光電發電系統住高起算點為屋頂下緣算起7公尺，且須完整覆蓋整個施作標的基地。屋頂斜率以6~8度範圍內為佳。</w:t>
            </w:r>
          </w:p>
        </w:tc>
        <w:tc>
          <w:tcPr>
            <w:tcW w:w="403" w:type="pct"/>
            <w:vAlign w:val="center"/>
          </w:tcPr>
          <w:p w14:paraId="3D68E11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B90E21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03F3E7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7F7C567A" w14:textId="77777777" w:rsidTr="00373E63">
        <w:trPr>
          <w:trHeight w:val="265"/>
        </w:trPr>
        <w:tc>
          <w:tcPr>
            <w:tcW w:w="256" w:type="pct"/>
            <w:vMerge/>
            <w:vAlign w:val="center"/>
          </w:tcPr>
          <w:p w14:paraId="7F64547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708EC0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14:paraId="3C534DD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r w:rsidRPr="00EF6059">
              <w:rPr>
                <w:rFonts w:ascii="標楷體" w:eastAsia="標楷體" w:hAnsi="標楷體"/>
                <w:color w:val="000000" w:themeColor="text1"/>
                <w:kern w:val="0"/>
              </w:rPr>
              <w:t>需包覆由地面起算高度達2公尺的防護墊(材質:EVA、厚度:3cm)，防止觸電</w:t>
            </w:r>
          </w:p>
        </w:tc>
        <w:tc>
          <w:tcPr>
            <w:tcW w:w="403" w:type="pct"/>
          </w:tcPr>
          <w:p w14:paraId="62DEED2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D3CD12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13092CB"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0720A974" w14:textId="77777777" w:rsidTr="00373E63">
        <w:trPr>
          <w:trHeight w:val="266"/>
        </w:trPr>
        <w:tc>
          <w:tcPr>
            <w:tcW w:w="256" w:type="pct"/>
            <w:vMerge/>
          </w:tcPr>
          <w:p w14:paraId="600E734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2568D5BD"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14:paraId="41DC8BED"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14:paraId="44F0DBE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73076AB"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9456AD8"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5ED6DB30" w14:textId="77777777" w:rsidTr="00373E63">
        <w:trPr>
          <w:trHeight w:val="454"/>
        </w:trPr>
        <w:tc>
          <w:tcPr>
            <w:tcW w:w="256" w:type="pct"/>
            <w:vMerge/>
          </w:tcPr>
          <w:p w14:paraId="0B11777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821168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14:paraId="68691985"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14:paraId="2304E82C"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E4BA632"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7338736"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486BEB84" w14:textId="77777777" w:rsidTr="00373E63">
        <w:trPr>
          <w:trHeight w:val="454"/>
        </w:trPr>
        <w:tc>
          <w:tcPr>
            <w:tcW w:w="256" w:type="pct"/>
            <w:vMerge/>
          </w:tcPr>
          <w:p w14:paraId="73A39F9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672E7E48"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14:paraId="7DAF77E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14:paraId="4F98D54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539F8C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C08CB4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A92188A" w14:textId="77777777" w:rsidTr="00373E63">
        <w:trPr>
          <w:trHeight w:val="454"/>
        </w:trPr>
        <w:tc>
          <w:tcPr>
            <w:tcW w:w="256" w:type="pct"/>
            <w:vMerge w:val="restart"/>
          </w:tcPr>
          <w:p w14:paraId="6F36F6AD" w14:textId="77777777" w:rsidR="00373E63" w:rsidRDefault="00373E63" w:rsidP="00373E63">
            <w:pPr>
              <w:widowControl/>
              <w:spacing w:line="360" w:lineRule="exact"/>
              <w:contextualSpacing/>
              <w:rPr>
                <w:rFonts w:ascii="標楷體" w:eastAsia="標楷體" w:hAnsi="標楷體"/>
                <w:color w:val="000000" w:themeColor="text1"/>
                <w:kern w:val="0"/>
              </w:rPr>
            </w:pPr>
          </w:p>
          <w:p w14:paraId="2AA22EE1" w14:textId="77777777" w:rsidR="00373E63" w:rsidRDefault="00373E63" w:rsidP="00373E63">
            <w:pPr>
              <w:widowControl/>
              <w:spacing w:line="360" w:lineRule="exact"/>
              <w:contextualSpacing/>
              <w:rPr>
                <w:rFonts w:ascii="標楷體" w:eastAsia="標楷體" w:hAnsi="標楷體"/>
                <w:color w:val="000000" w:themeColor="text1"/>
                <w:kern w:val="0"/>
              </w:rPr>
            </w:pPr>
          </w:p>
          <w:p w14:paraId="2AED3419" w14:textId="77777777"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14:paraId="68F46C0F"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14:paraId="03E27882"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最底層：石土壓實(夯實度 95%)</w:t>
            </w:r>
          </w:p>
          <w:p w14:paraId="2235CCC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14:paraId="04FD8E9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E53F55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5F81D8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C7132AD" w14:textId="77777777" w:rsidTr="00373E63">
        <w:trPr>
          <w:trHeight w:val="454"/>
        </w:trPr>
        <w:tc>
          <w:tcPr>
            <w:tcW w:w="256" w:type="pct"/>
            <w:vMerge/>
          </w:tcPr>
          <w:p w14:paraId="31C4451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519A7C5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14:paraId="2EA0BCF2"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14:paraId="677D514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4DA2ED1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E6DD02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5D7A21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7E65A185" w14:textId="77777777" w:rsidTr="00373E63">
        <w:trPr>
          <w:trHeight w:val="454"/>
        </w:trPr>
        <w:tc>
          <w:tcPr>
            <w:tcW w:w="256" w:type="pct"/>
            <w:vMerge/>
          </w:tcPr>
          <w:p w14:paraId="2DB2022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2109237B"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14:paraId="76A2D795" w14:textId="77777777"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14:paraId="60356E48" w14:textId="77777777"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4cm 厚粗級配瀝青混凝土(鋪設前先噴灑瀝青透層)</w:t>
            </w:r>
          </w:p>
          <w:p w14:paraId="7CD4A36F" w14:textId="77777777"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048ECD0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55BD74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F5FEF2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2F5B14F6" w14:textId="77777777" w:rsidTr="00373E63">
        <w:trPr>
          <w:trHeight w:val="454"/>
        </w:trPr>
        <w:tc>
          <w:tcPr>
            <w:tcW w:w="256" w:type="pct"/>
            <w:vMerge/>
          </w:tcPr>
          <w:p w14:paraId="1BF2780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FF3A98A"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14:paraId="01BBFCC9"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14:paraId="23DD62D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7F25B84E"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51C964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14BCF04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065E6A7" w14:textId="77777777" w:rsidTr="00373E63">
        <w:trPr>
          <w:trHeight w:val="454"/>
        </w:trPr>
        <w:tc>
          <w:tcPr>
            <w:tcW w:w="256" w:type="pct"/>
            <w:vMerge/>
          </w:tcPr>
          <w:p w14:paraId="543FDF2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161E24B"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14:paraId="13333762" w14:textId="77777777"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道壓克力運動面層(含</w:t>
            </w:r>
            <w:r>
              <w:rPr>
                <w:rFonts w:ascii="標楷體" w:eastAsia="標楷體" w:hAnsi="標楷體"/>
                <w:color w:val="000000" w:themeColor="text1"/>
                <w:kern w:val="0"/>
              </w:rPr>
              <w:t>既有面層刨除</w:t>
            </w:r>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複合彈性基材、壓克力基材、壓克力面材、畫線）</w:t>
            </w:r>
          </w:p>
        </w:tc>
        <w:tc>
          <w:tcPr>
            <w:tcW w:w="403" w:type="pct"/>
          </w:tcPr>
          <w:p w14:paraId="2EE05FC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0C813F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6B2B21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417937F" w14:textId="77777777" w:rsidTr="00373E63">
        <w:trPr>
          <w:trHeight w:val="454"/>
        </w:trPr>
        <w:tc>
          <w:tcPr>
            <w:tcW w:w="256" w:type="pct"/>
            <w:vMerge w:val="restart"/>
            <w:vAlign w:val="center"/>
          </w:tcPr>
          <w:p w14:paraId="704E8283"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14:paraId="0EF1C05F"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14:paraId="6B6DBBD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14:paraId="6BCB7A2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819DE3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136FD3A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2F7B7CC5" w14:textId="77777777" w:rsidTr="00373E63">
        <w:trPr>
          <w:trHeight w:val="253"/>
        </w:trPr>
        <w:tc>
          <w:tcPr>
            <w:tcW w:w="256" w:type="pct"/>
            <w:vMerge/>
          </w:tcPr>
          <w:p w14:paraId="5782433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B591A73"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14:paraId="64589194"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14:paraId="34D5D8D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AEDB164"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BBAFCA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0C483EAF" w14:textId="77777777" w:rsidTr="00373E63">
        <w:trPr>
          <w:trHeight w:val="339"/>
        </w:trPr>
        <w:tc>
          <w:tcPr>
            <w:tcW w:w="256" w:type="pct"/>
            <w:vMerge/>
          </w:tcPr>
          <w:p w14:paraId="2F6E4CD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5867B38"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14:paraId="0331E62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太陽光電模組鋁框與鋼構材接觸位置是否加裝鐵氟龍絕緣墊片以隔開二者，避免產生電位差腐蝕</w:t>
            </w:r>
          </w:p>
        </w:tc>
        <w:tc>
          <w:tcPr>
            <w:tcW w:w="403" w:type="pct"/>
          </w:tcPr>
          <w:p w14:paraId="2C56C1E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759980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632B397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1803075" w14:textId="77777777" w:rsidTr="00373E63">
        <w:trPr>
          <w:trHeight w:val="609"/>
        </w:trPr>
        <w:tc>
          <w:tcPr>
            <w:tcW w:w="256" w:type="pct"/>
            <w:vMerge/>
          </w:tcPr>
          <w:p w14:paraId="4A9978B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7CBA0190"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14:paraId="06DAEAC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螺絲組與太陽光電模組鋁框接觸處之平板華司下方應再加裝鐵氟龍絕緣墊片以隔開螺絲組及模組鋁框</w:t>
            </w:r>
          </w:p>
        </w:tc>
        <w:tc>
          <w:tcPr>
            <w:tcW w:w="403" w:type="pct"/>
          </w:tcPr>
          <w:p w14:paraId="176D725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CC8473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A614AD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71975DCF" w14:textId="77777777" w:rsidTr="00373E63">
        <w:trPr>
          <w:trHeight w:val="239"/>
        </w:trPr>
        <w:tc>
          <w:tcPr>
            <w:tcW w:w="256" w:type="pct"/>
            <w:vMerge/>
          </w:tcPr>
          <w:p w14:paraId="3DCFCDF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681E9324"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14:paraId="77FFAE4E"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為避免場地濕滑，整體設計應達到防漏水。惟雨天是否可教學、提供民眾使用需視當天狀況而定。</w:t>
            </w:r>
          </w:p>
        </w:tc>
        <w:tc>
          <w:tcPr>
            <w:tcW w:w="403" w:type="pct"/>
          </w:tcPr>
          <w:p w14:paraId="26CEEB8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B2FA54A"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1DE4E7A5"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1350C979" w14:textId="77777777" w:rsidTr="00373E63">
        <w:trPr>
          <w:trHeight w:val="454"/>
        </w:trPr>
        <w:tc>
          <w:tcPr>
            <w:tcW w:w="256" w:type="pct"/>
            <w:vMerge w:val="restart"/>
            <w:vAlign w:val="center"/>
          </w:tcPr>
          <w:p w14:paraId="56F6C93B"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14:paraId="5492C02A"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14:paraId="1CE2DC08"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14:paraId="461FF167" w14:textId="77777777"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14:paraId="527CD5B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A20548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65589B75" w14:textId="77777777"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14:paraId="040062F1" w14:textId="77777777" w:rsidTr="00373E63">
        <w:trPr>
          <w:trHeight w:val="454"/>
        </w:trPr>
        <w:tc>
          <w:tcPr>
            <w:tcW w:w="256" w:type="pct"/>
            <w:vMerge/>
          </w:tcPr>
          <w:p w14:paraId="1D4DE50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5056F3C3"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14:paraId="32D2539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結構設計是否依建築物耐風設計規範進行設計與檢核，其中用途係數（I），採 I=1.1（含）以上、陣風反應因子（G），採G=1.88（含）以上作，為設計與計算基礎</w:t>
            </w:r>
          </w:p>
        </w:tc>
        <w:tc>
          <w:tcPr>
            <w:tcW w:w="403" w:type="pct"/>
          </w:tcPr>
          <w:p w14:paraId="49DE645C"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3BCEB5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319D8B9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66E54576" w14:textId="77777777" w:rsidTr="00373E63">
        <w:trPr>
          <w:trHeight w:val="454"/>
        </w:trPr>
        <w:tc>
          <w:tcPr>
            <w:tcW w:w="256" w:type="pct"/>
            <w:vMerge/>
          </w:tcPr>
          <w:p w14:paraId="1DE0778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756C79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14:paraId="6734D41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結構設計應符合「建築物耐震設計規範及解說」之規定，其中用途係數（I），採I=1.25（含）以上作為設計與計算基礎</w:t>
            </w:r>
          </w:p>
        </w:tc>
        <w:tc>
          <w:tcPr>
            <w:tcW w:w="403" w:type="pct"/>
          </w:tcPr>
          <w:p w14:paraId="70BA1C9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2EE7FF0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152FD40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75AE9B2" w14:textId="77777777" w:rsidTr="00373E63">
        <w:trPr>
          <w:trHeight w:val="454"/>
        </w:trPr>
        <w:tc>
          <w:tcPr>
            <w:tcW w:w="256" w:type="pct"/>
            <w:vMerge/>
          </w:tcPr>
          <w:p w14:paraId="04A6BFEC"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0C1D8479"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14:paraId="636FD139" w14:textId="77777777"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鍍鋅或電鍍鋅材質或不銹鋼材質等抗腐蝕材質，並取得抗腐蝕品質測試報告</w:t>
            </w:r>
          </w:p>
        </w:tc>
        <w:tc>
          <w:tcPr>
            <w:tcW w:w="403" w:type="pct"/>
          </w:tcPr>
          <w:p w14:paraId="53BA6B8C"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1BCACA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E3877DB"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1F76B048" w14:textId="77777777" w:rsidTr="00373E63">
        <w:trPr>
          <w:trHeight w:val="454"/>
        </w:trPr>
        <w:tc>
          <w:tcPr>
            <w:tcW w:w="256" w:type="pct"/>
            <w:vMerge/>
          </w:tcPr>
          <w:p w14:paraId="05C4230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5080F42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14:paraId="7E23348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片彈簧華司、至少 2 片平板華司、至少 1 個抗腐蝕六角螺帽以及於六角螺帽上再套上 1 個抗腐蝕六角蓋型螺帽</w:t>
            </w:r>
          </w:p>
        </w:tc>
        <w:tc>
          <w:tcPr>
            <w:tcW w:w="403" w:type="pct"/>
          </w:tcPr>
          <w:p w14:paraId="27A2763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E9DA96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1784EE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B65D116" w14:textId="77777777" w:rsidTr="00373E63">
        <w:trPr>
          <w:trHeight w:val="454"/>
        </w:trPr>
        <w:tc>
          <w:tcPr>
            <w:tcW w:w="256" w:type="pct"/>
            <w:vMerge w:val="restart"/>
            <w:vAlign w:val="center"/>
          </w:tcPr>
          <w:p w14:paraId="275589E2"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支撐架金屬基材耐腐蝕性能</w:t>
            </w:r>
          </w:p>
        </w:tc>
        <w:tc>
          <w:tcPr>
            <w:tcW w:w="256" w:type="pct"/>
            <w:vAlign w:val="center"/>
          </w:tcPr>
          <w:p w14:paraId="179760C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14:paraId="25682BD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14:paraId="28670C35" w14:textId="77777777"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若採用鋼構基材，應為一般結構用鋼材（如 ASTM A709、ASTM A36、A572 等）或冷軋鋼構材外加表面防蝕處理，或耐候鋼材（如 ASTM A588，CNS 4620，JIS G3114等）</w:t>
            </w:r>
          </w:p>
          <w:p w14:paraId="144C2812" w14:textId="77777777"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14:paraId="48A9F3B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AF7574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3DDCD1B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51170C3" w14:textId="77777777" w:rsidTr="00373E63">
        <w:trPr>
          <w:trHeight w:val="454"/>
        </w:trPr>
        <w:tc>
          <w:tcPr>
            <w:tcW w:w="256" w:type="pct"/>
            <w:vMerge/>
          </w:tcPr>
          <w:p w14:paraId="6C132C0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68C1B99"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14:paraId="380B928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14:paraId="2F0105A2" w14:textId="77777777"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基材表面處理，須以設置地點符合 ISO  9223 之腐蝕環境分類等級，且至少以中度腐蝕（ISO  9223-C3)等級以上為處理基準，並以 20 年（含）以上抗腐蝕性能進行表面處理，並由專業機構提出施作說明與品質保證證明</w:t>
            </w:r>
          </w:p>
          <w:p w14:paraId="5541E15B" w14:textId="77777777"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14:paraId="5B6F412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623D1A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372FEFDB"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14:paraId="491FB843" w14:textId="77777777"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14:paraId="60ECD0DB" w14:textId="77777777" w:rsidR="00373E63" w:rsidRPr="00EF6059" w:rsidRDefault="00373E63" w:rsidP="00373E63">
      <w:pPr>
        <w:widowControl/>
        <w:spacing w:line="276" w:lineRule="auto"/>
        <w:contextualSpacing/>
        <w:rPr>
          <w:rFonts w:ascii="標楷體" w:eastAsia="標楷體" w:hAnsi="標楷體"/>
          <w:color w:val="000000" w:themeColor="text1"/>
          <w:kern w:val="0"/>
        </w:rPr>
      </w:pPr>
      <w:r w:rsidRPr="00EF6059">
        <w:rPr>
          <w:rFonts w:ascii="標楷體" w:eastAsia="標楷體" w:hAnsi="標楷體"/>
          <w:color w:val="000000" w:themeColor="text1"/>
          <w:kern w:val="0"/>
        </w:rPr>
        <w:t>註：</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檢驗結果須全部為是，若有否者，則需由得標廠商盡速修正，以完成檢驗。</w:t>
      </w:r>
    </w:p>
    <w:sectPr w:rsidR="00373E63" w:rsidRPr="00EF6059" w:rsidSect="00173FA1">
      <w:footerReference w:type="even" r:id="rId18"/>
      <w:footerReference w:type="default" r:id="rId19"/>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3841D3" w14:textId="77777777" w:rsidR="00554016" w:rsidRDefault="00554016">
      <w:r>
        <w:separator/>
      </w:r>
    </w:p>
  </w:endnote>
  <w:endnote w:type="continuationSeparator" w:id="0">
    <w:p w14:paraId="638A1115" w14:textId="77777777" w:rsidR="00554016" w:rsidRDefault="00554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新細明體;PMingLiU">
    <w:altName w:val="新細明體"/>
    <w:panose1 w:val="00000000000000000000"/>
    <w:charset w:val="88"/>
    <w:family w:val="roman"/>
    <w:notTrueType/>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58746A" w14:textId="77777777" w:rsidR="002E54CB" w:rsidRDefault="002E54CB"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776EA04" w14:textId="77777777" w:rsidR="002E54CB" w:rsidRDefault="002E54C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EC3A6" w14:textId="77777777" w:rsidR="002E54CB" w:rsidRDefault="002E54CB"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56FB3">
      <w:rPr>
        <w:rStyle w:val="a9"/>
        <w:noProof/>
      </w:rPr>
      <w:t>35</w:t>
    </w:r>
    <w:r>
      <w:rPr>
        <w:rStyle w:val="a9"/>
      </w:rPr>
      <w:fldChar w:fldCharType="end"/>
    </w:r>
  </w:p>
  <w:p w14:paraId="39948F7F" w14:textId="77777777" w:rsidR="002E54CB" w:rsidRDefault="002E54C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D98715" w14:textId="77777777" w:rsidR="00554016" w:rsidRDefault="00554016">
      <w:r>
        <w:separator/>
      </w:r>
    </w:p>
  </w:footnote>
  <w:footnote w:type="continuationSeparator" w:id="0">
    <w:p w14:paraId="54018F73" w14:textId="77777777" w:rsidR="00554016" w:rsidRDefault="005540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2A931313"/>
    <w:multiLevelType w:val="hybridMultilevel"/>
    <w:tmpl w:val="401489D2"/>
    <w:lvl w:ilvl="0" w:tplc="663C7994">
      <w:start w:val="1"/>
      <w:numFmt w:val="taiwaneseCountingThousand"/>
      <w:lvlText w:val="%1、"/>
      <w:lvlJc w:val="left"/>
      <w:pPr>
        <w:ind w:left="1854"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1"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4"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7"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0"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4"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6"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0"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1"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5"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6"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0"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5"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7"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
  </w:num>
  <w:num w:numId="4">
    <w:abstractNumId w:val="33"/>
  </w:num>
  <w:num w:numId="5">
    <w:abstractNumId w:val="37"/>
  </w:num>
  <w:num w:numId="6">
    <w:abstractNumId w:val="7"/>
  </w:num>
  <w:num w:numId="7">
    <w:abstractNumId w:val="45"/>
  </w:num>
  <w:num w:numId="8">
    <w:abstractNumId w:val="32"/>
  </w:num>
  <w:num w:numId="9">
    <w:abstractNumId w:val="42"/>
  </w:num>
  <w:num w:numId="10">
    <w:abstractNumId w:val="57"/>
  </w:num>
  <w:num w:numId="11">
    <w:abstractNumId w:val="47"/>
  </w:num>
  <w:num w:numId="12">
    <w:abstractNumId w:val="22"/>
  </w:num>
  <w:num w:numId="13">
    <w:abstractNumId w:val="48"/>
  </w:num>
  <w:num w:numId="14">
    <w:abstractNumId w:val="53"/>
  </w:num>
  <w:num w:numId="15">
    <w:abstractNumId w:val="50"/>
  </w:num>
  <w:num w:numId="16">
    <w:abstractNumId w:val="58"/>
  </w:num>
  <w:num w:numId="17">
    <w:abstractNumId w:val="24"/>
  </w:num>
  <w:num w:numId="18">
    <w:abstractNumId w:val="0"/>
  </w:num>
  <w:num w:numId="19">
    <w:abstractNumId w:val="15"/>
  </w:num>
  <w:num w:numId="20">
    <w:abstractNumId w:val="23"/>
  </w:num>
  <w:num w:numId="21">
    <w:abstractNumId w:val="36"/>
  </w:num>
  <w:num w:numId="22">
    <w:abstractNumId w:val="31"/>
  </w:num>
  <w:num w:numId="23">
    <w:abstractNumId w:val="34"/>
  </w:num>
  <w:num w:numId="24">
    <w:abstractNumId w:val="18"/>
  </w:num>
  <w:num w:numId="25">
    <w:abstractNumId w:val="11"/>
  </w:num>
  <w:num w:numId="26">
    <w:abstractNumId w:val="19"/>
  </w:num>
  <w:num w:numId="27">
    <w:abstractNumId w:val="56"/>
  </w:num>
  <w:num w:numId="28">
    <w:abstractNumId w:val="28"/>
  </w:num>
  <w:num w:numId="29">
    <w:abstractNumId w:val="30"/>
  </w:num>
  <w:num w:numId="30">
    <w:abstractNumId w:val="4"/>
  </w:num>
  <w:num w:numId="31">
    <w:abstractNumId w:val="49"/>
  </w:num>
  <w:num w:numId="32">
    <w:abstractNumId w:val="55"/>
  </w:num>
  <w:num w:numId="33">
    <w:abstractNumId w:val="38"/>
  </w:num>
  <w:num w:numId="34">
    <w:abstractNumId w:val="41"/>
  </w:num>
  <w:num w:numId="35">
    <w:abstractNumId w:val="27"/>
  </w:num>
  <w:num w:numId="36">
    <w:abstractNumId w:val="1"/>
  </w:num>
  <w:num w:numId="37">
    <w:abstractNumId w:val="6"/>
  </w:num>
  <w:num w:numId="38">
    <w:abstractNumId w:val="26"/>
  </w:num>
  <w:num w:numId="39">
    <w:abstractNumId w:val="5"/>
  </w:num>
  <w:num w:numId="40">
    <w:abstractNumId w:val="43"/>
  </w:num>
  <w:num w:numId="41">
    <w:abstractNumId w:val="12"/>
  </w:num>
  <w:num w:numId="42">
    <w:abstractNumId w:val="46"/>
  </w:num>
  <w:num w:numId="43">
    <w:abstractNumId w:val="8"/>
  </w:num>
  <w:num w:numId="44">
    <w:abstractNumId w:val="40"/>
  </w:num>
  <w:num w:numId="45">
    <w:abstractNumId w:val="16"/>
  </w:num>
  <w:num w:numId="46">
    <w:abstractNumId w:val="13"/>
  </w:num>
  <w:num w:numId="47">
    <w:abstractNumId w:val="10"/>
  </w:num>
  <w:num w:numId="48">
    <w:abstractNumId w:val="2"/>
  </w:num>
  <w:num w:numId="49">
    <w:abstractNumId w:val="54"/>
  </w:num>
  <w:num w:numId="50">
    <w:abstractNumId w:val="35"/>
  </w:num>
  <w:num w:numId="51">
    <w:abstractNumId w:val="44"/>
  </w:num>
  <w:num w:numId="52">
    <w:abstractNumId w:val="21"/>
  </w:num>
  <w:num w:numId="53">
    <w:abstractNumId w:val="29"/>
  </w:num>
  <w:num w:numId="54">
    <w:abstractNumId w:val="20"/>
  </w:num>
  <w:num w:numId="55">
    <w:abstractNumId w:val="9"/>
  </w:num>
  <w:num w:numId="56">
    <w:abstractNumId w:val="17"/>
  </w:num>
  <w:num w:numId="57">
    <w:abstractNumId w:val="14"/>
  </w:num>
  <w:num w:numId="58">
    <w:abstractNumId w:val="51"/>
  </w:num>
  <w:num w:numId="59">
    <w:abstractNumId w:val="2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5142"/>
    <w:rsid w:val="000A55F1"/>
    <w:rsid w:val="000A5DC9"/>
    <w:rsid w:val="000A701A"/>
    <w:rsid w:val="000A7974"/>
    <w:rsid w:val="000B0AF4"/>
    <w:rsid w:val="000B1EE6"/>
    <w:rsid w:val="000B2C30"/>
    <w:rsid w:val="000B3439"/>
    <w:rsid w:val="000B4194"/>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A68"/>
    <w:rsid w:val="001076CE"/>
    <w:rsid w:val="00107FEB"/>
    <w:rsid w:val="00110160"/>
    <w:rsid w:val="00111D3F"/>
    <w:rsid w:val="00112673"/>
    <w:rsid w:val="00112960"/>
    <w:rsid w:val="0011407F"/>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4CB"/>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46C"/>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D6"/>
    <w:rsid w:val="00355C62"/>
    <w:rsid w:val="00355D68"/>
    <w:rsid w:val="0035645D"/>
    <w:rsid w:val="00356FB3"/>
    <w:rsid w:val="00360089"/>
    <w:rsid w:val="003613B1"/>
    <w:rsid w:val="0036182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CA0"/>
    <w:rsid w:val="0040154B"/>
    <w:rsid w:val="004021A7"/>
    <w:rsid w:val="004032CF"/>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5353"/>
    <w:rsid w:val="004C72D6"/>
    <w:rsid w:val="004C7681"/>
    <w:rsid w:val="004C76C2"/>
    <w:rsid w:val="004C78DD"/>
    <w:rsid w:val="004D024F"/>
    <w:rsid w:val="004D0AC4"/>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218F"/>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A53"/>
    <w:rsid w:val="005504BB"/>
    <w:rsid w:val="005510F4"/>
    <w:rsid w:val="005517D3"/>
    <w:rsid w:val="00553DC0"/>
    <w:rsid w:val="00554016"/>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7637"/>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31E"/>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CF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A08F7"/>
    <w:rsid w:val="00AA0DF0"/>
    <w:rsid w:val="00AA12F7"/>
    <w:rsid w:val="00AA2216"/>
    <w:rsid w:val="00AA2821"/>
    <w:rsid w:val="00AA3285"/>
    <w:rsid w:val="00AA3428"/>
    <w:rsid w:val="00AA4A0A"/>
    <w:rsid w:val="00AA556B"/>
    <w:rsid w:val="00AA6BA6"/>
    <w:rsid w:val="00AA6C18"/>
    <w:rsid w:val="00AB02B5"/>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B5C"/>
    <w:rsid w:val="00B51EA3"/>
    <w:rsid w:val="00B52224"/>
    <w:rsid w:val="00B53C07"/>
    <w:rsid w:val="00B54561"/>
    <w:rsid w:val="00B54654"/>
    <w:rsid w:val="00B54BD2"/>
    <w:rsid w:val="00B55BA4"/>
    <w:rsid w:val="00B55F83"/>
    <w:rsid w:val="00B60679"/>
    <w:rsid w:val="00B6218E"/>
    <w:rsid w:val="00B62A34"/>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9AD"/>
    <w:rsid w:val="00C52CC3"/>
    <w:rsid w:val="00C5460D"/>
    <w:rsid w:val="00C551CC"/>
    <w:rsid w:val="00C557E8"/>
    <w:rsid w:val="00C5581A"/>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2DBC"/>
    <w:rsid w:val="00C84678"/>
    <w:rsid w:val="00C865A5"/>
    <w:rsid w:val="00C8671F"/>
    <w:rsid w:val="00C87438"/>
    <w:rsid w:val="00C90635"/>
    <w:rsid w:val="00C91249"/>
    <w:rsid w:val="00C93E72"/>
    <w:rsid w:val="00C96565"/>
    <w:rsid w:val="00C96CA0"/>
    <w:rsid w:val="00C9730D"/>
    <w:rsid w:val="00C97CE3"/>
    <w:rsid w:val="00CA07C2"/>
    <w:rsid w:val="00CA261D"/>
    <w:rsid w:val="00CA2A82"/>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8A1"/>
    <w:rsid w:val="00E11253"/>
    <w:rsid w:val="00E11EB2"/>
    <w:rsid w:val="00E13011"/>
    <w:rsid w:val="00E13338"/>
    <w:rsid w:val="00E13693"/>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3CE3"/>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2EC1"/>
    <w:rsid w:val="00F03558"/>
    <w:rsid w:val="00F03FA1"/>
    <w:rsid w:val="00F03FAA"/>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FA23200"/>
  <w15:docId w15:val="{C1D191B5-74FE-432A-84D0-57CBE3320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gechief-p@mail.moj.gov.tw" TargetMode="External"/><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F043A-FF34-490B-8E6A-505FD1160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2019</TotalTime>
  <Pages>35</Pages>
  <Words>3331</Words>
  <Characters>18991</Characters>
  <Application>Microsoft Office Word</Application>
  <DocSecurity>0</DocSecurity>
  <Lines>158</Lines>
  <Paragraphs>44</Paragraphs>
  <ScaleCrop>false</ScaleCrop>
  <Company>iMAX Design.</Company>
  <LinksUpToDate>false</LinksUpToDate>
  <CharactersWithSpaces>22278</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Windows 使用者</cp:lastModifiedBy>
  <cp:revision>25</cp:revision>
  <cp:lastPrinted>2020-04-16T06:01:00Z</cp:lastPrinted>
  <dcterms:created xsi:type="dcterms:W3CDTF">2019-04-18T01:27:00Z</dcterms:created>
  <dcterms:modified xsi:type="dcterms:W3CDTF">2020-11-30T03:45:00Z</dcterms:modified>
</cp:coreProperties>
</file>