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17" w:rsidRDefault="001A65B0">
      <w:pPr>
        <w:pStyle w:val="Textbody"/>
        <w:spacing w:line="440" w:lineRule="atLeast"/>
        <w:jc w:val="center"/>
        <w:rPr>
          <w:rFonts w:ascii="標楷體" w:eastAsia="標楷體" w:hAnsi="標楷體"/>
          <w:b/>
          <w:color w:val="000000"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</w:rPr>
        <w:t>高級中等以下學校及幼兒園教師資格考試命題作業要點</w:t>
      </w:r>
    </w:p>
    <w:p w:rsidR="00657C17" w:rsidRDefault="001A65B0">
      <w:pPr>
        <w:pStyle w:val="Textbody"/>
        <w:spacing w:line="440" w:lineRule="atLeast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b/>
          <w:color w:val="000000"/>
          <w:sz w:val="32"/>
        </w:rPr>
        <w:t>修正規定</w:t>
      </w:r>
    </w:p>
    <w:p w:rsidR="00657C17" w:rsidRDefault="001A65B0">
      <w:pPr>
        <w:pStyle w:val="Standard"/>
        <w:spacing w:after="140" w:line="288" w:lineRule="auto"/>
        <w:ind w:left="567" w:hanging="567"/>
        <w:rPr>
          <w:rFonts w:ascii="標楷體" w:eastAsia="標楷體" w:hAnsi="標楷體"/>
        </w:rPr>
      </w:pPr>
      <w:r>
        <w:rPr>
          <w:rFonts w:ascii="Times New Roman" w:eastAsia="標楷體" w:hAnsi="Times New Roman" w:cs="標楷體"/>
          <w:color w:val="000000"/>
          <w:kern w:val="0"/>
          <w:sz w:val="28"/>
          <w:szCs w:val="28"/>
        </w:rPr>
        <w:t>一、教育部</w:t>
      </w:r>
      <w:r>
        <w:rPr>
          <w:rFonts w:ascii="Times New Roman" w:eastAsia="標楷體" w:hAnsi="Times New Roman" w:cs="標楷體"/>
          <w:color w:val="000000"/>
          <w:spacing w:val="2"/>
          <w:kern w:val="0"/>
          <w:sz w:val="28"/>
          <w:szCs w:val="28"/>
        </w:rPr>
        <w:t>為綜理高級中等以下學校及幼兒園教師資格考試之命題工作，確保命題品質，特訂定本要點。</w:t>
      </w:r>
    </w:p>
    <w:p w:rsidR="00657C17" w:rsidRDefault="001A65B0">
      <w:pPr>
        <w:pStyle w:val="Standard"/>
        <w:spacing w:after="140" w:line="288" w:lineRule="auto"/>
        <w:ind w:left="567" w:hanging="567"/>
        <w:rPr>
          <w:rFonts w:hint="eastAsia"/>
        </w:rPr>
      </w:pPr>
      <w:r>
        <w:rPr>
          <w:rFonts w:ascii="Times New Roman" w:eastAsia="標楷體" w:hAnsi="Times New Roman" w:cs="標楷體"/>
          <w:color w:val="000000"/>
          <w:spacing w:val="2"/>
          <w:kern w:val="0"/>
          <w:sz w:val="28"/>
          <w:szCs w:val="28"/>
        </w:rPr>
        <w:t>二、</w:t>
      </w:r>
      <w:r>
        <w:rPr>
          <w:rFonts w:ascii="Times New Roman" w:eastAsia="標楷體" w:hAnsi="Times New Roman" w:cs="標楷體"/>
          <w:spacing w:val="6"/>
          <w:kern w:val="0"/>
          <w:sz w:val="28"/>
          <w:szCs w:val="28"/>
        </w:rPr>
        <w:t>資格考試分為幼兒園、特殊教育學校（班）、國民小學及中等學校四類科。</w:t>
      </w:r>
    </w:p>
    <w:p w:rsidR="00657C17" w:rsidRDefault="001A65B0">
      <w:pPr>
        <w:pStyle w:val="Standard"/>
        <w:spacing w:after="140" w:line="288" w:lineRule="auto"/>
        <w:ind w:left="567" w:hanging="567"/>
        <w:rPr>
          <w:rFonts w:hint="eastAsia"/>
        </w:rPr>
      </w:pPr>
      <w:r>
        <w:rPr>
          <w:rFonts w:ascii="Times New Roman" w:eastAsia="標楷體" w:hAnsi="Times New Roman" w:cs="標楷體"/>
          <w:spacing w:val="6"/>
          <w:kern w:val="0"/>
          <w:sz w:val="28"/>
          <w:szCs w:val="28"/>
        </w:rPr>
        <w:t>三、</w:t>
      </w: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各類科應試科目除國民小學類科為五科外，其餘類科為四科，包括共同科目一科至二科及教育專業科目三科，</w:t>
      </w:r>
      <w:r>
        <w:rPr>
          <w:rFonts w:ascii="標楷體" w:eastAsia="標楷體" w:hAnsi="標楷體" w:cs="標楷體"/>
          <w:spacing w:val="12"/>
          <w:kern w:val="0"/>
          <w:sz w:val="28"/>
          <w:szCs w:val="28"/>
        </w:rPr>
        <w:t>應試科目名稱如下</w:t>
      </w: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：</w:t>
      </w:r>
    </w:p>
    <w:p w:rsidR="00657C17" w:rsidRDefault="001A65B0">
      <w:pPr>
        <w:pStyle w:val="a6"/>
        <w:spacing w:line="460" w:lineRule="exact"/>
        <w:ind w:left="567" w:right="5"/>
        <w:rPr>
          <w:rFonts w:ascii="Times New Roman" w:eastAsia="標楷體" w:hAnsi="Times New Roman" w:cs="標楷體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（一）幼兒園類科：</w:t>
      </w:r>
    </w:p>
    <w:p w:rsidR="00657C17" w:rsidRDefault="001A65B0">
      <w:pPr>
        <w:pStyle w:val="a6"/>
        <w:numPr>
          <w:ilvl w:val="0"/>
          <w:numId w:val="33"/>
        </w:numPr>
        <w:spacing w:line="460" w:lineRule="exact"/>
        <w:ind w:left="1843" w:right="5" w:hanging="283"/>
        <w:rPr>
          <w:rFonts w:hint="eastAsia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共同科目：</w:t>
      </w:r>
      <w:r>
        <w:rPr>
          <w:rFonts w:ascii="標楷體" w:eastAsia="標楷體" w:hAnsi="標楷體" w:cs="標楷體"/>
          <w:kern w:val="0"/>
          <w:sz w:val="28"/>
          <w:szCs w:val="28"/>
        </w:rPr>
        <w:t>「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國語文能力測驗</w:t>
      </w:r>
      <w:r>
        <w:rPr>
          <w:rFonts w:ascii="標楷體" w:eastAsia="標楷體" w:hAnsi="標楷體" w:cs="標楷體"/>
          <w:kern w:val="0"/>
          <w:sz w:val="28"/>
          <w:szCs w:val="28"/>
        </w:rPr>
        <w:t>」一</w:t>
      </w: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科。</w:t>
      </w:r>
    </w:p>
    <w:p w:rsidR="00657C17" w:rsidRDefault="001A65B0">
      <w:pPr>
        <w:pStyle w:val="a6"/>
        <w:numPr>
          <w:ilvl w:val="0"/>
          <w:numId w:val="3"/>
        </w:numPr>
        <w:spacing w:line="460" w:lineRule="exact"/>
        <w:ind w:left="1843" w:right="5" w:hanging="283"/>
        <w:rPr>
          <w:rFonts w:hint="eastAsia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教育專業科目：</w:t>
      </w: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該類科包括</w:t>
      </w:r>
      <w:r>
        <w:rPr>
          <w:rFonts w:ascii="標楷體" w:eastAsia="標楷體" w:hAnsi="標楷體" w:cs="標楷體"/>
          <w:spacing w:val="12"/>
          <w:kern w:val="0"/>
          <w:sz w:val="28"/>
          <w:szCs w:val="28"/>
        </w:rPr>
        <w:t>「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教育理念與實務</w:t>
      </w:r>
      <w:r>
        <w:rPr>
          <w:rFonts w:ascii="標楷體" w:eastAsia="標楷體" w:hAnsi="標楷體" w:cs="標楷體"/>
          <w:kern w:val="0"/>
          <w:sz w:val="28"/>
          <w:szCs w:val="28"/>
        </w:rPr>
        <w:t>」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「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學習者發展與適性輔導</w:t>
      </w:r>
      <w:r>
        <w:rPr>
          <w:rFonts w:ascii="標楷體" w:eastAsia="標楷體" w:hAnsi="標楷體" w:cs="標楷體"/>
          <w:kern w:val="0"/>
          <w:sz w:val="28"/>
          <w:szCs w:val="28"/>
        </w:rPr>
        <w:t>」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及</w:t>
      </w:r>
      <w:r>
        <w:rPr>
          <w:rFonts w:ascii="標楷體" w:eastAsia="標楷體" w:hAnsi="標楷體" w:cs="標楷體"/>
          <w:kern w:val="0"/>
          <w:sz w:val="28"/>
          <w:szCs w:val="28"/>
        </w:rPr>
        <w:t>「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課程教學與評量</w:t>
      </w:r>
      <w:r>
        <w:rPr>
          <w:rFonts w:ascii="標楷體" w:eastAsia="標楷體" w:hAnsi="標楷體" w:cs="標楷體"/>
          <w:kern w:val="0"/>
          <w:sz w:val="28"/>
          <w:szCs w:val="28"/>
        </w:rPr>
        <w:t>」</w:t>
      </w: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三科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。</w:t>
      </w:r>
    </w:p>
    <w:p w:rsidR="00657C17" w:rsidRDefault="001A65B0">
      <w:pPr>
        <w:pStyle w:val="a6"/>
        <w:spacing w:line="460" w:lineRule="exact"/>
        <w:ind w:left="567" w:right="5"/>
        <w:rPr>
          <w:rFonts w:ascii="Times New Roman" w:eastAsia="標楷體" w:hAnsi="Times New Roman" w:cs="標楷體"/>
          <w:spacing w:val="12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（二）特殊教育學校（班）類科：</w:t>
      </w:r>
    </w:p>
    <w:p w:rsidR="00657C17" w:rsidRDefault="001A65B0">
      <w:pPr>
        <w:pStyle w:val="a6"/>
        <w:numPr>
          <w:ilvl w:val="0"/>
          <w:numId w:val="34"/>
        </w:numPr>
        <w:spacing w:line="460" w:lineRule="exact"/>
        <w:ind w:left="1843" w:right="5" w:hanging="283"/>
        <w:rPr>
          <w:rFonts w:ascii="Times New Roman" w:eastAsia="標楷體" w:hAnsi="Times New Roman" w:cs="標楷體"/>
          <w:spacing w:val="12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共同科目：「國語文能力測驗」一科。</w:t>
      </w:r>
    </w:p>
    <w:p w:rsidR="00657C17" w:rsidRDefault="001A65B0">
      <w:pPr>
        <w:pStyle w:val="a6"/>
        <w:numPr>
          <w:ilvl w:val="0"/>
          <w:numId w:val="4"/>
        </w:numPr>
        <w:spacing w:line="460" w:lineRule="exact"/>
        <w:ind w:left="1843" w:right="5" w:hanging="283"/>
        <w:rPr>
          <w:rFonts w:hint="eastAsia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教育</w:t>
      </w: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專業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科目：</w:t>
      </w: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該類科包括「教育理念與實務」、「學習者發展與適性輔導」、「課程教學與評量</w:t>
      </w:r>
      <w:r>
        <w:rPr>
          <w:rFonts w:ascii="標楷體" w:eastAsia="標楷體" w:hAnsi="標楷體" w:cs="標楷體"/>
          <w:spacing w:val="12"/>
          <w:kern w:val="0"/>
          <w:sz w:val="28"/>
          <w:szCs w:val="28"/>
        </w:rPr>
        <w:t>（</w:t>
      </w: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分為身心障礙組與資賦優異組</w:t>
      </w:r>
      <w:r>
        <w:rPr>
          <w:rFonts w:ascii="標楷體" w:eastAsia="標楷體" w:hAnsi="標楷體" w:cs="標楷體"/>
          <w:spacing w:val="12"/>
          <w:kern w:val="0"/>
          <w:sz w:val="28"/>
          <w:szCs w:val="28"/>
        </w:rPr>
        <w:t>）</w:t>
      </w: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」三科。</w:t>
      </w:r>
    </w:p>
    <w:p w:rsidR="00657C17" w:rsidRDefault="001A65B0">
      <w:pPr>
        <w:pStyle w:val="a6"/>
        <w:spacing w:line="460" w:lineRule="exact"/>
        <w:ind w:left="567" w:right="5"/>
        <w:rPr>
          <w:rFonts w:ascii="Times New Roman" w:eastAsia="標楷體" w:hAnsi="Times New Roman" w:cs="標楷體"/>
          <w:spacing w:val="12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（三）國民小學類科：</w:t>
      </w:r>
    </w:p>
    <w:p w:rsidR="00657C17" w:rsidRDefault="001A65B0">
      <w:pPr>
        <w:pStyle w:val="a6"/>
        <w:numPr>
          <w:ilvl w:val="0"/>
          <w:numId w:val="35"/>
        </w:numPr>
        <w:spacing w:line="460" w:lineRule="exact"/>
        <w:ind w:left="1843" w:right="5" w:hanging="283"/>
        <w:jc w:val="both"/>
        <w:rPr>
          <w:rFonts w:ascii="Times New Roman" w:eastAsia="標楷體" w:hAnsi="Times New Roman" w:cs="標楷體"/>
          <w:spacing w:val="12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共同科目：「國語文能力測驗」、「數學能力測驗」二科。</w:t>
      </w:r>
    </w:p>
    <w:p w:rsidR="00657C17" w:rsidRDefault="001A65B0">
      <w:pPr>
        <w:pStyle w:val="a6"/>
        <w:numPr>
          <w:ilvl w:val="0"/>
          <w:numId w:val="5"/>
        </w:numPr>
        <w:spacing w:line="460" w:lineRule="exact"/>
        <w:ind w:left="1843" w:right="5" w:hanging="283"/>
        <w:jc w:val="both"/>
        <w:rPr>
          <w:rFonts w:hint="eastAsia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教育專業科目：</w:t>
      </w: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該類科包括「教育理念與實務」、「學習者發展與適性輔導」、「課程教學與評量」三科。</w:t>
      </w:r>
    </w:p>
    <w:p w:rsidR="00657C17" w:rsidRDefault="001A65B0">
      <w:pPr>
        <w:pStyle w:val="a6"/>
        <w:spacing w:line="460" w:lineRule="exact"/>
        <w:ind w:left="567" w:right="5"/>
        <w:rPr>
          <w:rFonts w:hint="eastAsia"/>
        </w:rPr>
      </w:pP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（四）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中等</w:t>
      </w: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學校類科：</w:t>
      </w:r>
    </w:p>
    <w:p w:rsidR="00657C17" w:rsidRDefault="001A65B0">
      <w:pPr>
        <w:pStyle w:val="a6"/>
        <w:numPr>
          <w:ilvl w:val="0"/>
          <w:numId w:val="36"/>
        </w:numPr>
        <w:spacing w:line="460" w:lineRule="exact"/>
        <w:ind w:left="1843" w:right="5" w:hanging="283"/>
        <w:rPr>
          <w:rFonts w:ascii="Times New Roman" w:eastAsia="標楷體" w:hAnsi="Times New Roman" w:cs="標楷體"/>
          <w:spacing w:val="12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共同科目：「國語文能力測驗」一科。</w:t>
      </w:r>
    </w:p>
    <w:p w:rsidR="00657C17" w:rsidRDefault="001A65B0">
      <w:pPr>
        <w:pStyle w:val="a6"/>
        <w:numPr>
          <w:ilvl w:val="0"/>
          <w:numId w:val="6"/>
        </w:numPr>
        <w:spacing w:line="460" w:lineRule="exact"/>
        <w:ind w:left="1843" w:right="5" w:hanging="283"/>
        <w:rPr>
          <w:rFonts w:hint="eastAsia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教育專業科目：</w:t>
      </w: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該類科包括「教育理念與實務」、「學習者發展與適性輔導」、「課程教學與評量」三科。</w:t>
      </w:r>
    </w:p>
    <w:p w:rsidR="00657C17" w:rsidRDefault="001A65B0">
      <w:pPr>
        <w:pStyle w:val="Standard"/>
        <w:spacing w:line="460" w:lineRule="exact"/>
        <w:ind w:left="590" w:right="5" w:hanging="590"/>
        <w:jc w:val="both"/>
        <w:rPr>
          <w:rFonts w:hint="eastAsia"/>
        </w:rPr>
      </w:pPr>
      <w:r>
        <w:rPr>
          <w:rFonts w:ascii="Times New Roman" w:eastAsia="標楷體" w:hAnsi="Times New Roman" w:cs="標楷體"/>
          <w:spacing w:val="6"/>
          <w:kern w:val="0"/>
          <w:sz w:val="28"/>
          <w:szCs w:val="28"/>
        </w:rPr>
        <w:t>四、各科試題研發小組應依考試時間與應試科目之不同，訂定各科素養評量指標及題型，並配合課程改革、教育趨勢，將十二年國民基本教育課程綱要、教育政策及重大教育議題（包括精進學生學習成效政策、五育理念、品德教育、性別平等教育、人權教育、</w:t>
      </w:r>
      <w:r>
        <w:rPr>
          <w:rFonts w:ascii="Times New Roman" w:eastAsia="標楷體" w:hAnsi="Times New Roman" w:cs="標楷體"/>
          <w:spacing w:val="6"/>
          <w:kern w:val="0"/>
          <w:sz w:val="28"/>
          <w:szCs w:val="28"/>
        </w:rPr>
        <w:lastRenderedPageBreak/>
        <w:t>多元文化教育等）適時融入各科命題內涵與範圍。國語文能力測驗應同時兼顧本土作家、作品、文化等內容。</w:t>
      </w:r>
      <w:r>
        <w:rPr>
          <w:rFonts w:ascii="標楷體" w:eastAsia="標楷體" w:hAnsi="標楷體" w:cs="標楷體"/>
          <w:spacing w:val="6"/>
          <w:kern w:val="0"/>
          <w:sz w:val="28"/>
          <w:szCs w:val="28"/>
        </w:rPr>
        <w:t>題型</w:t>
      </w:r>
      <w:r>
        <w:rPr>
          <w:rFonts w:ascii="標楷體" w:eastAsia="標楷體" w:hAnsi="標楷體" w:cs="標楷體"/>
          <w:kern w:val="0"/>
          <w:sz w:val="28"/>
          <w:szCs w:val="28"/>
        </w:rPr>
        <w:t>為選擇題、非選擇題及綜合題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/>
          <w:kern w:val="0"/>
          <w:sz w:val="28"/>
          <w:szCs w:val="28"/>
        </w:rPr>
        <w:t>得包括選擇、是非、配合與問答題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/>
          <w:kern w:val="0"/>
          <w:sz w:val="28"/>
          <w:szCs w:val="28"/>
        </w:rPr>
        <w:t>，各科題型及素養評量指標</w:t>
      </w:r>
      <w:r>
        <w:rPr>
          <w:rFonts w:ascii="標楷體" w:eastAsia="標楷體" w:hAnsi="標楷體" w:cs="標楷體"/>
          <w:kern w:val="0"/>
          <w:sz w:val="28"/>
          <w:szCs w:val="28"/>
        </w:rPr>
        <w:t>如下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657C17" w:rsidRDefault="001A65B0">
      <w:pPr>
        <w:pStyle w:val="a6"/>
        <w:spacing w:before="240" w:line="460" w:lineRule="exact"/>
        <w:ind w:left="567" w:right="5"/>
        <w:rPr>
          <w:rFonts w:hint="eastAsia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（一）國語文能力測驗：</w:t>
      </w:r>
    </w:p>
    <w:p w:rsidR="00657C17" w:rsidRDefault="001A65B0">
      <w:pPr>
        <w:pStyle w:val="a6"/>
        <w:numPr>
          <w:ilvl w:val="0"/>
          <w:numId w:val="37"/>
        </w:numPr>
        <w:spacing w:before="120" w:after="120" w:line="460" w:lineRule="exact"/>
        <w:ind w:left="1560" w:right="6" w:hanging="284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題型：本考科題型分為選擇題、寫作及綜合題。</w:t>
      </w:r>
    </w:p>
    <w:p w:rsidR="00657C17" w:rsidRDefault="001A65B0">
      <w:pPr>
        <w:pStyle w:val="a6"/>
        <w:numPr>
          <w:ilvl w:val="0"/>
          <w:numId w:val="8"/>
        </w:numPr>
        <w:spacing w:before="120" w:after="120" w:line="460" w:lineRule="exact"/>
        <w:ind w:left="1560" w:right="6" w:hanging="284"/>
        <w:rPr>
          <w:rFonts w:hint="eastAsia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素養評量指標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：</w:t>
      </w:r>
    </w:p>
    <w:p w:rsidR="00657C17" w:rsidRDefault="001A65B0">
      <w:pPr>
        <w:pStyle w:val="Standard"/>
        <w:numPr>
          <w:ilvl w:val="0"/>
          <w:numId w:val="38"/>
        </w:numPr>
        <w:tabs>
          <w:tab w:val="left" w:pos="4519"/>
          <w:tab w:val="left" w:pos="5795"/>
        </w:tabs>
        <w:spacing w:line="460" w:lineRule="exact"/>
        <w:ind w:left="2534" w:right="5" w:hanging="97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語文理解：包括語文知識與閱讀理解。</w:t>
      </w:r>
    </w:p>
    <w:p w:rsidR="00657C17" w:rsidRDefault="001A65B0">
      <w:pPr>
        <w:pStyle w:val="Standard"/>
        <w:numPr>
          <w:ilvl w:val="1"/>
          <w:numId w:val="1"/>
        </w:numPr>
        <w:tabs>
          <w:tab w:val="left" w:pos="4395"/>
          <w:tab w:val="left" w:pos="5671"/>
        </w:tabs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語文知識：</w:t>
      </w:r>
    </w:p>
    <w:p w:rsidR="00657C17" w:rsidRDefault="001A65B0">
      <w:pPr>
        <w:pStyle w:val="Standard"/>
        <w:numPr>
          <w:ilvl w:val="2"/>
          <w:numId w:val="1"/>
        </w:numPr>
        <w:tabs>
          <w:tab w:val="left" w:pos="4679"/>
          <w:tab w:val="left" w:pos="5955"/>
        </w:tabs>
        <w:spacing w:line="460" w:lineRule="exact"/>
        <w:ind w:left="2694" w:right="5" w:hanging="28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字詞理解與運用分析。</w:t>
      </w:r>
    </w:p>
    <w:p w:rsidR="00657C17" w:rsidRDefault="001A65B0">
      <w:pPr>
        <w:pStyle w:val="Standard"/>
        <w:numPr>
          <w:ilvl w:val="2"/>
          <w:numId w:val="1"/>
        </w:numPr>
        <w:tabs>
          <w:tab w:val="left" w:pos="4679"/>
          <w:tab w:val="left" w:pos="5955"/>
        </w:tabs>
        <w:spacing w:line="460" w:lineRule="exact"/>
        <w:ind w:left="2694" w:right="5" w:hanging="28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文化常識與應用文書。</w:t>
      </w:r>
    </w:p>
    <w:p w:rsidR="00657C17" w:rsidRDefault="001A65B0">
      <w:pPr>
        <w:pStyle w:val="Standard"/>
        <w:numPr>
          <w:ilvl w:val="1"/>
          <w:numId w:val="1"/>
        </w:numPr>
        <w:tabs>
          <w:tab w:val="left" w:pos="4395"/>
          <w:tab w:val="left" w:pos="5671"/>
        </w:tabs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閱讀理解：</w:t>
      </w:r>
    </w:p>
    <w:p w:rsidR="00657C17" w:rsidRDefault="001A65B0">
      <w:pPr>
        <w:pStyle w:val="Standard"/>
        <w:numPr>
          <w:ilvl w:val="2"/>
          <w:numId w:val="1"/>
        </w:numPr>
        <w:tabs>
          <w:tab w:val="left" w:pos="4679"/>
          <w:tab w:val="left" w:pos="5955"/>
        </w:tabs>
        <w:spacing w:line="460" w:lineRule="exact"/>
        <w:ind w:left="2694" w:right="5" w:hanging="28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內容意旨。</w:t>
      </w:r>
    </w:p>
    <w:p w:rsidR="00657C17" w:rsidRDefault="001A65B0">
      <w:pPr>
        <w:pStyle w:val="Standard"/>
        <w:numPr>
          <w:ilvl w:val="2"/>
          <w:numId w:val="1"/>
        </w:numPr>
        <w:tabs>
          <w:tab w:val="left" w:pos="4679"/>
          <w:tab w:val="left" w:pos="5955"/>
        </w:tabs>
        <w:spacing w:line="460" w:lineRule="exact"/>
        <w:ind w:left="2694" w:right="5" w:hanging="28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篇章結構與風格欣賞。</w:t>
      </w:r>
    </w:p>
    <w:p w:rsidR="00657C17" w:rsidRDefault="001A65B0">
      <w:pPr>
        <w:pStyle w:val="Standard"/>
        <w:numPr>
          <w:ilvl w:val="0"/>
          <w:numId w:val="1"/>
        </w:numPr>
        <w:tabs>
          <w:tab w:val="left" w:pos="4081"/>
        </w:tabs>
        <w:spacing w:line="460" w:lineRule="exact"/>
        <w:ind w:left="2041" w:hanging="454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溝通表達：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能以通順語句、適當結構，抒發主觀經驗並整合客觀資訊，以達成有效溝通。</w:t>
      </w:r>
    </w:p>
    <w:p w:rsidR="00657C17" w:rsidRDefault="001A65B0">
      <w:pPr>
        <w:pStyle w:val="a6"/>
        <w:spacing w:before="240" w:line="460" w:lineRule="exact"/>
        <w:ind w:left="567" w:right="5"/>
        <w:rPr>
          <w:rFonts w:hint="eastAsia"/>
        </w:rPr>
      </w:pP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（二）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數學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能力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測驗：</w:t>
      </w:r>
    </w:p>
    <w:p w:rsidR="00657C17" w:rsidRDefault="001A65B0">
      <w:pPr>
        <w:pStyle w:val="a6"/>
        <w:numPr>
          <w:ilvl w:val="0"/>
          <w:numId w:val="39"/>
        </w:numPr>
        <w:spacing w:before="120" w:after="120" w:line="460" w:lineRule="exact"/>
        <w:ind w:left="1701" w:right="6" w:hanging="283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題型：本考科題型分為選擇題、計算或證明題、問答題及綜合題。</w:t>
      </w:r>
    </w:p>
    <w:p w:rsidR="00657C17" w:rsidRDefault="001A65B0">
      <w:pPr>
        <w:pStyle w:val="a6"/>
        <w:numPr>
          <w:ilvl w:val="0"/>
          <w:numId w:val="9"/>
        </w:numPr>
        <w:spacing w:before="120" w:after="120" w:line="460" w:lineRule="exact"/>
        <w:ind w:left="1701" w:right="6" w:hanging="283"/>
        <w:rPr>
          <w:rFonts w:hint="eastAsia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素養評量指標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：</w:t>
      </w:r>
    </w:p>
    <w:p w:rsidR="00657C17" w:rsidRDefault="001A65B0">
      <w:pPr>
        <w:pStyle w:val="a6"/>
        <w:numPr>
          <w:ilvl w:val="0"/>
          <w:numId w:val="40"/>
        </w:numPr>
        <w:spacing w:line="460" w:lineRule="exact"/>
        <w:ind w:left="2127" w:right="5" w:hanging="426"/>
        <w:rPr>
          <w:rFonts w:ascii="Times New Roman" w:eastAsia="標楷體" w:hAnsi="Times New Roman" w:cs="標楷體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普通數學：</w:t>
      </w:r>
    </w:p>
    <w:p w:rsidR="00657C17" w:rsidRDefault="001A65B0">
      <w:pPr>
        <w:pStyle w:val="a6"/>
        <w:numPr>
          <w:ilvl w:val="0"/>
          <w:numId w:val="41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標楷體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理解數學概念之意義及概念間連結。</w:t>
      </w:r>
    </w:p>
    <w:p w:rsidR="00657C17" w:rsidRDefault="001A65B0">
      <w:pPr>
        <w:pStyle w:val="a6"/>
        <w:numPr>
          <w:ilvl w:val="0"/>
          <w:numId w:val="11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標楷體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運用合理方法與步驟執行數學程序。</w:t>
      </w:r>
    </w:p>
    <w:p w:rsidR="00657C17" w:rsidRDefault="001A65B0">
      <w:pPr>
        <w:pStyle w:val="a6"/>
        <w:numPr>
          <w:ilvl w:val="0"/>
          <w:numId w:val="11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標楷體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應用數學知識來解決數學或生活中問題。</w:t>
      </w:r>
    </w:p>
    <w:p w:rsidR="00657C17" w:rsidRDefault="001A65B0">
      <w:pPr>
        <w:pStyle w:val="a6"/>
        <w:numPr>
          <w:ilvl w:val="0"/>
          <w:numId w:val="42"/>
        </w:numPr>
        <w:spacing w:line="460" w:lineRule="exact"/>
        <w:ind w:left="2127" w:right="5" w:hanging="426"/>
        <w:rPr>
          <w:rFonts w:ascii="Times New Roman" w:eastAsia="標楷體" w:hAnsi="Times New Roman" w:cs="標楷體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數學教材教法：</w:t>
      </w:r>
    </w:p>
    <w:p w:rsidR="00657C17" w:rsidRDefault="001A65B0">
      <w:pPr>
        <w:pStyle w:val="a6"/>
        <w:numPr>
          <w:ilvl w:val="0"/>
          <w:numId w:val="43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標楷體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理解國民小學數學課程內容及教材脈絡，並應用於數學教學。</w:t>
      </w:r>
    </w:p>
    <w:p w:rsidR="00657C17" w:rsidRDefault="001A65B0">
      <w:pPr>
        <w:pStyle w:val="a6"/>
        <w:numPr>
          <w:ilvl w:val="0"/>
          <w:numId w:val="12"/>
        </w:numPr>
        <w:spacing w:line="460" w:lineRule="exact"/>
        <w:ind w:left="2410" w:right="5" w:hanging="283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理解國民小學學童數學概念之發展與迷思，並應用於數學教學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。</w:t>
      </w:r>
    </w:p>
    <w:p w:rsidR="00657C17" w:rsidRDefault="001A65B0">
      <w:pPr>
        <w:pStyle w:val="a6"/>
        <w:numPr>
          <w:ilvl w:val="0"/>
          <w:numId w:val="12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標楷體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lastRenderedPageBreak/>
        <w:t>理解國民小學數學教學策略與多元評量方法，並應用於數學教學。</w:t>
      </w:r>
    </w:p>
    <w:p w:rsidR="00657C17" w:rsidRDefault="001A65B0">
      <w:pPr>
        <w:pStyle w:val="a6"/>
        <w:spacing w:before="240" w:line="460" w:lineRule="exact"/>
        <w:ind w:left="567" w:right="5"/>
        <w:rPr>
          <w:rFonts w:hint="eastAsia"/>
        </w:rPr>
      </w:pP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（三）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教育理念與實務：</w:t>
      </w:r>
    </w:p>
    <w:p w:rsidR="00657C17" w:rsidRDefault="001A65B0">
      <w:pPr>
        <w:pStyle w:val="a6"/>
        <w:numPr>
          <w:ilvl w:val="0"/>
          <w:numId w:val="44"/>
        </w:numPr>
        <w:spacing w:before="120" w:after="120" w:line="460" w:lineRule="exact"/>
        <w:ind w:left="1701" w:right="6" w:hanging="283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題型：本考科題型分為選擇題、問答題及綜合題。</w:t>
      </w:r>
    </w:p>
    <w:p w:rsidR="00657C17" w:rsidRDefault="001A65B0">
      <w:pPr>
        <w:pStyle w:val="a6"/>
        <w:numPr>
          <w:ilvl w:val="0"/>
          <w:numId w:val="13"/>
        </w:numPr>
        <w:spacing w:before="120" w:after="120" w:line="460" w:lineRule="exact"/>
        <w:ind w:left="1701" w:right="6" w:hanging="283"/>
        <w:rPr>
          <w:rFonts w:hint="eastAsia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素養評量指標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：</w:t>
      </w:r>
    </w:p>
    <w:p w:rsidR="00657C17" w:rsidRDefault="001A65B0">
      <w:pPr>
        <w:pStyle w:val="a6"/>
        <w:numPr>
          <w:ilvl w:val="0"/>
          <w:numId w:val="45"/>
        </w:numPr>
        <w:spacing w:before="120" w:after="120" w:line="460" w:lineRule="exact"/>
        <w:ind w:left="2127" w:right="6" w:hanging="426"/>
        <w:jc w:val="both"/>
        <w:rPr>
          <w:rFonts w:ascii="Times New Roman" w:eastAsia="標楷體" w:hAnsi="Times New Roman" w:cs="標楷體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幼兒園類科：</w:t>
      </w:r>
    </w:p>
    <w:p w:rsidR="00657C17" w:rsidRDefault="001A65B0">
      <w:pPr>
        <w:pStyle w:val="a6"/>
        <w:numPr>
          <w:ilvl w:val="0"/>
          <w:numId w:val="46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了解主要教育思潮與理論之意義、規準、本質、目的及功能，並應用於各級學校教育。</w:t>
      </w:r>
    </w:p>
    <w:p w:rsidR="00657C17" w:rsidRDefault="001A65B0">
      <w:pPr>
        <w:pStyle w:val="a6"/>
        <w:numPr>
          <w:ilvl w:val="0"/>
          <w:numId w:val="14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了解社會結構、教育機會均等、多元文化教育，並應用於幼兒教保服務。</w:t>
      </w:r>
    </w:p>
    <w:p w:rsidR="00657C17" w:rsidRDefault="001A65B0">
      <w:pPr>
        <w:pStyle w:val="a6"/>
        <w:numPr>
          <w:ilvl w:val="0"/>
          <w:numId w:val="14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了解我國幼兒教育政策、幼兒教育法規及幼兒園教育實務，並應用於幼兒園教育場域。</w:t>
      </w:r>
    </w:p>
    <w:p w:rsidR="00657C17" w:rsidRDefault="001A65B0">
      <w:pPr>
        <w:pStyle w:val="a6"/>
        <w:numPr>
          <w:ilvl w:val="0"/>
          <w:numId w:val="14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了解教師專業倫理與實踐之內涵，並應用於幼兒園教保教育場域。</w:t>
      </w:r>
    </w:p>
    <w:p w:rsidR="00657C17" w:rsidRDefault="001A65B0">
      <w:pPr>
        <w:pStyle w:val="a6"/>
        <w:numPr>
          <w:ilvl w:val="0"/>
          <w:numId w:val="47"/>
        </w:numPr>
        <w:spacing w:before="120" w:after="120" w:line="460" w:lineRule="exact"/>
        <w:ind w:left="2127" w:right="6" w:hanging="426"/>
        <w:jc w:val="both"/>
        <w:rPr>
          <w:rFonts w:hint="eastAsia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特殊教育學校（班）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類科：</w:t>
      </w:r>
    </w:p>
    <w:p w:rsidR="00657C17" w:rsidRDefault="001A65B0">
      <w:pPr>
        <w:pStyle w:val="a6"/>
        <w:numPr>
          <w:ilvl w:val="0"/>
          <w:numId w:val="48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了解主要教育思潮與理論之意義、規準、本質、目的及功能，並應用於各級學校教育。</w:t>
      </w:r>
    </w:p>
    <w:p w:rsidR="00657C17" w:rsidRDefault="001A65B0">
      <w:pPr>
        <w:pStyle w:val="a6"/>
        <w:numPr>
          <w:ilvl w:val="0"/>
          <w:numId w:val="17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了解教育內外在社會環境與社會脈絡，包括巨觀、微觀二層面，如教育與社會公平、社會變遷、社會關係等，並應用於一般學校與特殊教育學校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（班）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657C17" w:rsidRDefault="001A65B0">
      <w:pPr>
        <w:pStyle w:val="a6"/>
        <w:numPr>
          <w:ilvl w:val="0"/>
          <w:numId w:val="17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了解我國主要教育行政與教育制度、特殊教育法規與政策、學校實務及教育改革趨勢、特殊教育相關支持服務與支援系統，並應用於一般學校與特殊教育學校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（班）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之教育情境。</w:t>
      </w:r>
    </w:p>
    <w:p w:rsidR="00657C17" w:rsidRDefault="001A65B0">
      <w:pPr>
        <w:pStyle w:val="a6"/>
        <w:numPr>
          <w:ilvl w:val="0"/>
          <w:numId w:val="17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了解教師專業倫理與實踐之內涵，並應用於一般學校與特殊教育學校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（班）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657C17" w:rsidRDefault="001A65B0">
      <w:pPr>
        <w:pStyle w:val="a6"/>
        <w:numPr>
          <w:ilvl w:val="0"/>
          <w:numId w:val="49"/>
        </w:numPr>
        <w:spacing w:before="120" w:after="120" w:line="460" w:lineRule="exact"/>
        <w:ind w:left="2127" w:right="6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國民小學類科：</w:t>
      </w:r>
    </w:p>
    <w:p w:rsidR="00657C17" w:rsidRDefault="001A65B0">
      <w:pPr>
        <w:pStyle w:val="a6"/>
        <w:numPr>
          <w:ilvl w:val="0"/>
          <w:numId w:val="50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了解主要教育思潮與理論之意義、規準、本質、目的及功能，並應用於各級學校教育。</w:t>
      </w:r>
    </w:p>
    <w:p w:rsidR="00657C17" w:rsidRDefault="001A65B0">
      <w:pPr>
        <w:pStyle w:val="a6"/>
        <w:numPr>
          <w:ilvl w:val="0"/>
          <w:numId w:val="18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了解並應用教育內外在社會環境與社會脈絡，包括巨觀、微觀二層面，如教育與社會公平、社會變遷、社會關係等。</w:t>
      </w:r>
    </w:p>
    <w:p w:rsidR="00657C17" w:rsidRDefault="001A65B0">
      <w:pPr>
        <w:pStyle w:val="a6"/>
        <w:numPr>
          <w:ilvl w:val="0"/>
          <w:numId w:val="18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了解我國主要教育行政與教育制度、教育法規與教育政策、學校實務及教育改革趨勢，並應用於國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民小學教育情境。</w:t>
      </w:r>
    </w:p>
    <w:p w:rsidR="00657C17" w:rsidRDefault="001A65B0">
      <w:pPr>
        <w:pStyle w:val="a6"/>
        <w:numPr>
          <w:ilvl w:val="0"/>
          <w:numId w:val="18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了解教師專業倫理與實踐之內涵，並應用於國民小學。</w:t>
      </w:r>
    </w:p>
    <w:p w:rsidR="00657C17" w:rsidRDefault="001A65B0">
      <w:pPr>
        <w:pStyle w:val="a6"/>
        <w:numPr>
          <w:ilvl w:val="0"/>
          <w:numId w:val="51"/>
        </w:numPr>
        <w:spacing w:before="120" w:after="120" w:line="460" w:lineRule="exact"/>
        <w:ind w:left="2127" w:right="6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中等學校類科：</w:t>
      </w:r>
    </w:p>
    <w:p w:rsidR="00657C17" w:rsidRDefault="001A65B0">
      <w:pPr>
        <w:pStyle w:val="a6"/>
        <w:numPr>
          <w:ilvl w:val="0"/>
          <w:numId w:val="52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了解主要教育思潮與理論之意義、規準、本質、目的及功能，並應用於各級學校教育。</w:t>
      </w:r>
    </w:p>
    <w:p w:rsidR="00657C17" w:rsidRDefault="001A65B0">
      <w:pPr>
        <w:pStyle w:val="a6"/>
        <w:numPr>
          <w:ilvl w:val="0"/>
          <w:numId w:val="19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了解並應用教育內外在社會環境與社會脈絡，包括巨觀、微觀二層面，如教育與社會公平、社會變遷、社會關係等。</w:t>
      </w:r>
    </w:p>
    <w:p w:rsidR="00657C17" w:rsidRDefault="001A65B0">
      <w:pPr>
        <w:pStyle w:val="a6"/>
        <w:numPr>
          <w:ilvl w:val="0"/>
          <w:numId w:val="19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了解我國主要教育行政與教育制度、教育法規與教育政策、學校實務及教育改革趨勢，並應用於中等學校教育情境。</w:t>
      </w:r>
    </w:p>
    <w:p w:rsidR="00657C17" w:rsidRDefault="001A65B0">
      <w:pPr>
        <w:pStyle w:val="a6"/>
        <w:numPr>
          <w:ilvl w:val="0"/>
          <w:numId w:val="19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了解教師專業倫理與實踐之內涵，並應用於中等學校。</w:t>
      </w:r>
    </w:p>
    <w:p w:rsidR="00657C17" w:rsidRDefault="001A65B0">
      <w:pPr>
        <w:pStyle w:val="a6"/>
        <w:spacing w:before="240" w:line="460" w:lineRule="exact"/>
        <w:ind w:left="567" w:right="5"/>
        <w:rPr>
          <w:rFonts w:hint="eastAsia"/>
        </w:rPr>
      </w:pP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（四）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學習者發展與適性輔導：</w:t>
      </w:r>
    </w:p>
    <w:p w:rsidR="00657C17" w:rsidRDefault="001A65B0">
      <w:pPr>
        <w:pStyle w:val="a6"/>
        <w:numPr>
          <w:ilvl w:val="0"/>
          <w:numId w:val="53"/>
        </w:numPr>
        <w:spacing w:line="460" w:lineRule="exact"/>
        <w:ind w:left="1701" w:right="5" w:hanging="283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題型：本考科題型分為選擇題、問答題及綜合題。</w:t>
      </w:r>
    </w:p>
    <w:p w:rsidR="00657C17" w:rsidRDefault="001A65B0">
      <w:pPr>
        <w:pStyle w:val="a6"/>
        <w:numPr>
          <w:ilvl w:val="0"/>
          <w:numId w:val="15"/>
        </w:numPr>
        <w:spacing w:line="460" w:lineRule="exact"/>
        <w:ind w:left="1701" w:right="5" w:hanging="283"/>
        <w:rPr>
          <w:rFonts w:hint="eastAsia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素養評量指標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：</w:t>
      </w:r>
    </w:p>
    <w:p w:rsidR="00657C17" w:rsidRDefault="001A65B0">
      <w:pPr>
        <w:pStyle w:val="a6"/>
        <w:numPr>
          <w:ilvl w:val="0"/>
          <w:numId w:val="54"/>
        </w:numPr>
        <w:spacing w:before="120" w:after="120" w:line="460" w:lineRule="exact"/>
        <w:ind w:left="2127" w:right="6" w:hanging="426"/>
        <w:jc w:val="both"/>
        <w:rPr>
          <w:rFonts w:ascii="Times New Roman" w:eastAsia="標楷體" w:hAnsi="Times New Roman" w:cs="標楷體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幼兒園類科：</w:t>
      </w:r>
    </w:p>
    <w:p w:rsidR="00657C17" w:rsidRDefault="001A65B0">
      <w:pPr>
        <w:pStyle w:val="a6"/>
        <w:numPr>
          <w:ilvl w:val="0"/>
          <w:numId w:val="55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了解幼兒發展理論、不同社經及文化背景之發展差異，並應用於教學與輔導。</w:t>
      </w:r>
    </w:p>
    <w:p w:rsidR="00657C17" w:rsidRDefault="001A65B0">
      <w:pPr>
        <w:pStyle w:val="a6"/>
        <w:numPr>
          <w:ilvl w:val="0"/>
          <w:numId w:val="21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了解幼兒健康促進、安全與保護，常見健康問題之知識及應用適當照護方法。</w:t>
      </w:r>
    </w:p>
    <w:p w:rsidR="00657C17" w:rsidRDefault="001A65B0">
      <w:pPr>
        <w:pStyle w:val="a6"/>
        <w:numPr>
          <w:ilvl w:val="0"/>
          <w:numId w:val="21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了解幼兒年齡、能力、興趣之個別差異，並應用適當學習原理及遊戲相關理論於幼兒之適性發展。</w:t>
      </w:r>
    </w:p>
    <w:p w:rsidR="00657C17" w:rsidRDefault="001A65B0">
      <w:pPr>
        <w:pStyle w:val="a6"/>
        <w:numPr>
          <w:ilvl w:val="0"/>
          <w:numId w:val="21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了解特殊需求幼兒之身心特質及鑑定歷程，並提供適切支持。</w:t>
      </w:r>
    </w:p>
    <w:p w:rsidR="00657C17" w:rsidRDefault="001A65B0">
      <w:pPr>
        <w:pStyle w:val="a6"/>
        <w:numPr>
          <w:ilvl w:val="0"/>
          <w:numId w:val="21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了解並應用師生互動、班級文化及正向支持之原理與方法。</w:t>
      </w:r>
    </w:p>
    <w:p w:rsidR="00657C17" w:rsidRDefault="001A65B0">
      <w:pPr>
        <w:pStyle w:val="a6"/>
        <w:numPr>
          <w:ilvl w:val="0"/>
          <w:numId w:val="21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了解輔導原理與技巧，並應用親職教育、家園合作及社區協力於幼兒之適性發展。</w:t>
      </w:r>
    </w:p>
    <w:p w:rsidR="00657C17" w:rsidRDefault="001A65B0">
      <w:pPr>
        <w:pStyle w:val="a6"/>
        <w:numPr>
          <w:ilvl w:val="0"/>
          <w:numId w:val="56"/>
        </w:numPr>
        <w:spacing w:before="120" w:after="120" w:line="460" w:lineRule="exact"/>
        <w:ind w:left="2127" w:right="6" w:hanging="426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特殊教育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學校（班）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類科：</w:t>
      </w:r>
    </w:p>
    <w:p w:rsidR="00657C17" w:rsidRDefault="001A65B0">
      <w:pPr>
        <w:pStyle w:val="a6"/>
        <w:numPr>
          <w:ilvl w:val="0"/>
          <w:numId w:val="57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了解學習者身心發展理論與特質、社經及文化背景之差異，並應用於特殊需求學生權益促進、教學與輔導。</w:t>
      </w:r>
    </w:p>
    <w:p w:rsidR="00657C17" w:rsidRDefault="001A65B0">
      <w:pPr>
        <w:pStyle w:val="a6"/>
        <w:numPr>
          <w:ilvl w:val="0"/>
          <w:numId w:val="22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了解特殊教育學生之殊異性並提供相關支持服務。</w:t>
      </w:r>
    </w:p>
    <w:p w:rsidR="00657C17" w:rsidRDefault="001A65B0">
      <w:pPr>
        <w:pStyle w:val="a6"/>
        <w:numPr>
          <w:ilvl w:val="0"/>
          <w:numId w:val="22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了解特殊教育學生之身心特質，應用適切之篩選轉介與鑑定評估，提供適切教育與支持服務。</w:t>
      </w:r>
    </w:p>
    <w:p w:rsidR="00657C17" w:rsidRDefault="001A65B0">
      <w:pPr>
        <w:pStyle w:val="a6"/>
        <w:numPr>
          <w:ilvl w:val="0"/>
          <w:numId w:val="22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了解正向支持之原理與方法，並應用於學習環境規劃與營造、親師生關係、學生自主學習與自我決策。</w:t>
      </w:r>
    </w:p>
    <w:p w:rsidR="00657C17" w:rsidRDefault="001A65B0">
      <w:pPr>
        <w:pStyle w:val="a6"/>
        <w:numPr>
          <w:ilvl w:val="0"/>
          <w:numId w:val="22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了解特殊教育學生認知與情意發展及可能之情緒與行為問題，並應用輔導原理與技巧，與相關專業人員合作，提供適性輔導與轉銜服務。</w:t>
      </w:r>
    </w:p>
    <w:p w:rsidR="00657C17" w:rsidRDefault="001A65B0">
      <w:pPr>
        <w:pStyle w:val="a6"/>
        <w:numPr>
          <w:ilvl w:val="0"/>
          <w:numId w:val="58"/>
        </w:numPr>
        <w:spacing w:before="120" w:after="120" w:line="460" w:lineRule="exact"/>
        <w:ind w:left="2127" w:right="6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國民小學類科：</w:t>
      </w:r>
    </w:p>
    <w:p w:rsidR="00657C17" w:rsidRDefault="001A65B0">
      <w:pPr>
        <w:pStyle w:val="a6"/>
        <w:numPr>
          <w:ilvl w:val="0"/>
          <w:numId w:val="59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了解兒童身心發展理論、不同社經及文化背景之發展差異，以及認知或行為個別差異，並應用於教學。</w:t>
      </w:r>
    </w:p>
    <w:p w:rsidR="00657C17" w:rsidRDefault="001A65B0">
      <w:pPr>
        <w:pStyle w:val="a6"/>
        <w:numPr>
          <w:ilvl w:val="0"/>
          <w:numId w:val="23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了解主要學習理論（包括學習策略）與動機理論，以促進國民小學學生學習。</w:t>
      </w:r>
    </w:p>
    <w:p w:rsidR="00657C17" w:rsidRDefault="001A65B0">
      <w:pPr>
        <w:pStyle w:val="a6"/>
        <w:numPr>
          <w:ilvl w:val="0"/>
          <w:numId w:val="23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辨識特殊需求學生之身心特質與篩選，並提供適切支持與轉介。</w:t>
      </w:r>
    </w:p>
    <w:p w:rsidR="00657C17" w:rsidRDefault="001A65B0">
      <w:pPr>
        <w:pStyle w:val="a6"/>
        <w:numPr>
          <w:ilvl w:val="0"/>
          <w:numId w:val="23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應用班級經營、正向支持的原理與方法，培養學生自律與自治，促進親師生關係及營造友善學習環境。</w:t>
      </w:r>
    </w:p>
    <w:p w:rsidR="00657C17" w:rsidRDefault="001A65B0">
      <w:pPr>
        <w:pStyle w:val="a6"/>
        <w:numPr>
          <w:ilvl w:val="0"/>
          <w:numId w:val="23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了解基本輔導理論與技巧、輔導機制與資源、輔導倫理與主要法規，並應用於協助學生適應與發展。</w:t>
      </w:r>
    </w:p>
    <w:p w:rsidR="00657C17" w:rsidRDefault="001A65B0">
      <w:pPr>
        <w:pStyle w:val="a6"/>
        <w:numPr>
          <w:ilvl w:val="0"/>
          <w:numId w:val="60"/>
        </w:numPr>
        <w:spacing w:before="120" w:after="120" w:line="460" w:lineRule="exact"/>
        <w:ind w:left="2127" w:right="6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中等學校類科：</w:t>
      </w:r>
    </w:p>
    <w:p w:rsidR="00657C17" w:rsidRDefault="001A65B0">
      <w:pPr>
        <w:pStyle w:val="a6"/>
        <w:numPr>
          <w:ilvl w:val="0"/>
          <w:numId w:val="61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了解青少年身心發展理論、不同社經及文化背景之發展差異，並應用於教學與輔導。</w:t>
      </w:r>
    </w:p>
    <w:p w:rsidR="00657C17" w:rsidRDefault="001A65B0">
      <w:pPr>
        <w:pStyle w:val="a6"/>
        <w:numPr>
          <w:ilvl w:val="0"/>
          <w:numId w:val="24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了解主要學習理論（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包括學習策略）與動機理論，並應用於中等學校學生學習與輔導。</w:t>
      </w:r>
    </w:p>
    <w:p w:rsidR="00657C17" w:rsidRDefault="001A65B0">
      <w:pPr>
        <w:pStyle w:val="a6"/>
        <w:numPr>
          <w:ilvl w:val="0"/>
          <w:numId w:val="24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辨識特殊需求學生之身心特質及鑑定歷程，並提供適切教育與支持。</w:t>
      </w:r>
    </w:p>
    <w:p w:rsidR="00657C17" w:rsidRDefault="001A65B0">
      <w:pPr>
        <w:pStyle w:val="a6"/>
        <w:numPr>
          <w:ilvl w:val="0"/>
          <w:numId w:val="24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了解班級經營、正向支持之原理與技巧，並應用於營造學生自律與自治、親師生夥伴關係及友善學習環境。</w:t>
      </w:r>
    </w:p>
    <w:p w:rsidR="00657C17" w:rsidRDefault="001A65B0">
      <w:pPr>
        <w:pStyle w:val="a6"/>
        <w:numPr>
          <w:ilvl w:val="0"/>
          <w:numId w:val="24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了解主要輔導理論與技巧、輔導機制與資源、輔導倫理與主要法規，並應用於協助學生適應與發展。</w:t>
      </w:r>
    </w:p>
    <w:p w:rsidR="00657C17" w:rsidRDefault="001A65B0">
      <w:pPr>
        <w:pStyle w:val="a6"/>
        <w:spacing w:before="240" w:line="460" w:lineRule="exact"/>
        <w:ind w:left="567" w:right="5"/>
        <w:rPr>
          <w:rFonts w:hint="eastAsia"/>
        </w:rPr>
      </w:pPr>
      <w:r>
        <w:rPr>
          <w:rFonts w:ascii="Times New Roman" w:eastAsia="標楷體" w:hAnsi="Times New Roman" w:cs="標楷體"/>
          <w:spacing w:val="12"/>
          <w:kern w:val="0"/>
          <w:sz w:val="28"/>
          <w:szCs w:val="28"/>
        </w:rPr>
        <w:t>（五）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課程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教學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與評量：</w:t>
      </w:r>
    </w:p>
    <w:p w:rsidR="00657C17" w:rsidRDefault="001A65B0">
      <w:pPr>
        <w:pStyle w:val="a6"/>
        <w:numPr>
          <w:ilvl w:val="0"/>
          <w:numId w:val="62"/>
        </w:numPr>
        <w:spacing w:line="460" w:lineRule="exact"/>
        <w:ind w:left="1701" w:right="5" w:hanging="283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題型：本考科題型分為選擇題、問答題及綜合題。</w:t>
      </w:r>
    </w:p>
    <w:p w:rsidR="00657C17" w:rsidRDefault="001A65B0">
      <w:pPr>
        <w:pStyle w:val="a6"/>
        <w:numPr>
          <w:ilvl w:val="0"/>
          <w:numId w:val="25"/>
        </w:numPr>
        <w:spacing w:line="460" w:lineRule="exact"/>
        <w:ind w:left="1701" w:right="5" w:hanging="283"/>
        <w:rPr>
          <w:rFonts w:hint="eastAsia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素養評量指標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：</w:t>
      </w:r>
    </w:p>
    <w:p w:rsidR="00657C17" w:rsidRDefault="001A65B0">
      <w:pPr>
        <w:pStyle w:val="a6"/>
        <w:numPr>
          <w:ilvl w:val="0"/>
          <w:numId w:val="63"/>
        </w:numPr>
        <w:spacing w:before="120" w:after="120" w:line="460" w:lineRule="exact"/>
        <w:ind w:left="2127" w:right="6" w:hanging="426"/>
        <w:jc w:val="both"/>
        <w:rPr>
          <w:rFonts w:ascii="Times New Roman" w:eastAsia="標楷體" w:hAnsi="Times New Roman" w:cs="標楷體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幼兒園類科：</w:t>
      </w:r>
    </w:p>
    <w:p w:rsidR="00657C17" w:rsidRDefault="001A65B0">
      <w:pPr>
        <w:pStyle w:val="a6"/>
        <w:numPr>
          <w:ilvl w:val="0"/>
          <w:numId w:val="64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了解並應用幼兒教育課程之主要理論及取向，發展及設計課程、教學及評量。</w:t>
      </w:r>
    </w:p>
    <w:p w:rsidR="00657C17" w:rsidRDefault="001A65B0">
      <w:pPr>
        <w:pStyle w:val="a6"/>
        <w:numPr>
          <w:ilvl w:val="0"/>
          <w:numId w:val="27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了解各領域教材教法並應用統整概念設計課程、教學及評量。</w:t>
      </w:r>
    </w:p>
    <w:p w:rsidR="00657C17" w:rsidRDefault="001A65B0">
      <w:pPr>
        <w:pStyle w:val="a6"/>
        <w:numPr>
          <w:ilvl w:val="0"/>
          <w:numId w:val="27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了解社會變遷趨勢與議題，並融入於幼兒園課程與教學。</w:t>
      </w:r>
    </w:p>
    <w:p w:rsidR="00657C17" w:rsidRDefault="001A65B0">
      <w:pPr>
        <w:pStyle w:val="a6"/>
        <w:numPr>
          <w:ilvl w:val="0"/>
          <w:numId w:val="27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了解幼兒學習策略、多元教學策略、教學媒材與學習科技、資源及技術，並應用於幼兒之有效學習。</w:t>
      </w:r>
    </w:p>
    <w:p w:rsidR="00657C17" w:rsidRDefault="001A65B0">
      <w:pPr>
        <w:pStyle w:val="a6"/>
        <w:numPr>
          <w:ilvl w:val="0"/>
          <w:numId w:val="27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了解並應用幼兒園學習環境之理論基礎與規劃原則。</w:t>
      </w:r>
    </w:p>
    <w:p w:rsidR="00657C17" w:rsidRDefault="001A65B0">
      <w:pPr>
        <w:pStyle w:val="a6"/>
        <w:numPr>
          <w:ilvl w:val="0"/>
          <w:numId w:val="27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了解並應用幼兒園、家庭及社區資源融入課程規劃與教學。</w:t>
      </w:r>
    </w:p>
    <w:p w:rsidR="00657C17" w:rsidRDefault="001A65B0">
      <w:pPr>
        <w:pStyle w:val="a6"/>
        <w:numPr>
          <w:ilvl w:val="0"/>
          <w:numId w:val="27"/>
        </w:numPr>
        <w:spacing w:line="460" w:lineRule="exact"/>
        <w:ind w:left="2410" w:right="5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了解幼兒學習評量之原理與方法，並應用於學習回饋與教學調整。</w:t>
      </w:r>
    </w:p>
    <w:p w:rsidR="00657C17" w:rsidRDefault="001A65B0">
      <w:pPr>
        <w:pStyle w:val="Standard"/>
        <w:numPr>
          <w:ilvl w:val="0"/>
          <w:numId w:val="27"/>
        </w:numPr>
        <w:spacing w:line="460" w:lineRule="exact"/>
        <w:ind w:left="2410" w:right="5" w:hanging="283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了解並結合幼兒園領域專門知識與教學知能，應用於課程、教學之設計與實施。</w:t>
      </w:r>
    </w:p>
    <w:p w:rsidR="00657C17" w:rsidRDefault="001A65B0">
      <w:pPr>
        <w:pStyle w:val="a6"/>
        <w:numPr>
          <w:ilvl w:val="0"/>
          <w:numId w:val="65"/>
        </w:numPr>
        <w:spacing w:before="120" w:after="120" w:line="460" w:lineRule="exact"/>
        <w:ind w:left="2127" w:right="6" w:hanging="426"/>
        <w:jc w:val="both"/>
        <w:rPr>
          <w:rFonts w:hint="eastAsia"/>
        </w:rPr>
      </w:pPr>
      <w:r>
        <w:rPr>
          <w:rFonts w:ascii="Times New Roman" w:eastAsia="標楷體" w:hAnsi="Times New Roman" w:cs="標楷體"/>
          <w:kern w:val="0"/>
          <w:sz w:val="28"/>
          <w:szCs w:val="28"/>
        </w:rPr>
        <w:t>特殊教育學校（班）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類科：</w:t>
      </w:r>
    </w:p>
    <w:p w:rsidR="00657C17" w:rsidRDefault="001A65B0">
      <w:pPr>
        <w:pStyle w:val="a6"/>
        <w:numPr>
          <w:ilvl w:val="0"/>
          <w:numId w:val="66"/>
        </w:numPr>
        <w:spacing w:before="120" w:after="120" w:line="460" w:lineRule="exact"/>
        <w:ind w:left="2410" w:right="6" w:hanging="283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身心障礙組：</w:t>
      </w:r>
    </w:p>
    <w:p w:rsidR="00657C17" w:rsidRDefault="001A65B0">
      <w:pPr>
        <w:pStyle w:val="a6"/>
        <w:numPr>
          <w:ilvl w:val="0"/>
          <w:numId w:val="67"/>
        </w:numPr>
        <w:spacing w:line="460" w:lineRule="exact"/>
        <w:ind w:left="2778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了解特殊教育學生課程之主要理論、設計原則與模式，並應用於特殊教育學校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（班）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之課程調整及特殊需求領域課程，發展素養導向課程、教學及評量。</w:t>
      </w:r>
    </w:p>
    <w:p w:rsidR="00657C17" w:rsidRDefault="001A65B0">
      <w:pPr>
        <w:pStyle w:val="a6"/>
        <w:numPr>
          <w:ilvl w:val="0"/>
          <w:numId w:val="28"/>
        </w:numPr>
        <w:spacing w:line="460" w:lineRule="exact"/>
        <w:ind w:left="2778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了解特殊教育學生教學之主要理論與模式、活動與設計、多元教學策略及方法，並應用於特殊教育學校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（班）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之跨領域／科目／情境之素養導向教學。</w:t>
      </w:r>
    </w:p>
    <w:p w:rsidR="00657C17" w:rsidRDefault="001A65B0">
      <w:pPr>
        <w:pStyle w:val="a6"/>
        <w:numPr>
          <w:ilvl w:val="0"/>
          <w:numId w:val="28"/>
        </w:numPr>
        <w:spacing w:line="460" w:lineRule="exact"/>
        <w:ind w:left="2778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了解社會變遷趨勢與議題，並應用於特殊教育課程教學與評量。</w:t>
      </w:r>
    </w:p>
    <w:p w:rsidR="00657C17" w:rsidRDefault="001A65B0">
      <w:pPr>
        <w:pStyle w:val="a6"/>
        <w:numPr>
          <w:ilvl w:val="0"/>
          <w:numId w:val="28"/>
        </w:numPr>
        <w:spacing w:line="460" w:lineRule="exact"/>
        <w:ind w:left="2778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了解教學媒材及輔助科技等相關資源，並應用於特殊教育教學設計與環境規劃。</w:t>
      </w:r>
    </w:p>
    <w:p w:rsidR="00657C17" w:rsidRDefault="001A65B0">
      <w:pPr>
        <w:pStyle w:val="a6"/>
        <w:numPr>
          <w:ilvl w:val="0"/>
          <w:numId w:val="28"/>
        </w:numPr>
        <w:spacing w:line="460" w:lineRule="exact"/>
        <w:ind w:left="2778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了解特殊教育學生之特質能力及需求，擬定適當課程與相關服務，並執行個別化教育計畫。</w:t>
      </w:r>
    </w:p>
    <w:p w:rsidR="00657C17" w:rsidRDefault="001A65B0">
      <w:pPr>
        <w:pStyle w:val="a6"/>
        <w:numPr>
          <w:ilvl w:val="0"/>
          <w:numId w:val="28"/>
        </w:numPr>
        <w:spacing w:line="460" w:lineRule="exact"/>
        <w:ind w:left="2778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了解多元與適性評量之原理與方法，並依據學習回饋應用於教學調整。</w:t>
      </w:r>
    </w:p>
    <w:p w:rsidR="00657C17" w:rsidRDefault="001A65B0">
      <w:pPr>
        <w:pStyle w:val="a6"/>
        <w:numPr>
          <w:ilvl w:val="0"/>
          <w:numId w:val="68"/>
        </w:numPr>
        <w:spacing w:before="120" w:after="120" w:line="460" w:lineRule="exact"/>
        <w:ind w:left="2410" w:right="6" w:hanging="283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資賦優異組：</w:t>
      </w:r>
    </w:p>
    <w:p w:rsidR="00657C17" w:rsidRDefault="001A65B0">
      <w:pPr>
        <w:pStyle w:val="a6"/>
        <w:numPr>
          <w:ilvl w:val="0"/>
          <w:numId w:val="69"/>
        </w:numPr>
        <w:spacing w:line="460" w:lineRule="exact"/>
        <w:ind w:left="2778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了解特殊教育學生課程之主要理論、設計原則與模式，並應用於特殊教育學校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（班）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之課程調整及特殊需求領域課程，發展素養導向課程、教學及評量。</w:t>
      </w:r>
    </w:p>
    <w:p w:rsidR="00657C17" w:rsidRDefault="001A65B0">
      <w:pPr>
        <w:pStyle w:val="a6"/>
        <w:numPr>
          <w:ilvl w:val="0"/>
          <w:numId w:val="31"/>
        </w:numPr>
        <w:spacing w:line="460" w:lineRule="exact"/>
        <w:ind w:left="2778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了解特殊教育學生教學之主要理論與模式、活動與設計、多元教學策略及方法，並應用於特殊教育學校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（班）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之跨領域／科目／情境之素養導向教學。</w:t>
      </w:r>
    </w:p>
    <w:p w:rsidR="00657C17" w:rsidRDefault="001A65B0">
      <w:pPr>
        <w:pStyle w:val="a6"/>
        <w:numPr>
          <w:ilvl w:val="0"/>
          <w:numId w:val="31"/>
        </w:numPr>
        <w:spacing w:line="460" w:lineRule="exact"/>
        <w:ind w:left="2778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了解社會變遷趨勢與議題，並應用於特殊教育課程教學與評量。</w:t>
      </w:r>
    </w:p>
    <w:p w:rsidR="00657C17" w:rsidRDefault="001A65B0">
      <w:pPr>
        <w:pStyle w:val="a6"/>
        <w:numPr>
          <w:ilvl w:val="0"/>
          <w:numId w:val="31"/>
        </w:numPr>
        <w:spacing w:line="460" w:lineRule="exact"/>
        <w:ind w:left="2778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了解教學媒材及輔助科技等相關資源，並應用於特殊教育教學設計與環境規劃。</w:t>
      </w:r>
    </w:p>
    <w:p w:rsidR="00657C17" w:rsidRDefault="001A65B0">
      <w:pPr>
        <w:pStyle w:val="a6"/>
        <w:numPr>
          <w:ilvl w:val="0"/>
          <w:numId w:val="31"/>
        </w:numPr>
        <w:spacing w:line="460" w:lineRule="exact"/>
        <w:ind w:left="2778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了解特殊教育學生之特質能力及需求，擬定適當課程與相關服務，並執行個別輔導計畫。</w:t>
      </w:r>
    </w:p>
    <w:p w:rsidR="00657C17" w:rsidRDefault="001A65B0">
      <w:pPr>
        <w:pStyle w:val="a6"/>
        <w:numPr>
          <w:ilvl w:val="0"/>
          <w:numId w:val="31"/>
        </w:numPr>
        <w:spacing w:line="460" w:lineRule="exact"/>
        <w:ind w:left="2778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了解多元與適性評量之原理與方法，並依據學習回饋應用於教學調整。</w:t>
      </w:r>
    </w:p>
    <w:p w:rsidR="00657C17" w:rsidRDefault="001A65B0">
      <w:pPr>
        <w:pStyle w:val="a6"/>
        <w:numPr>
          <w:ilvl w:val="0"/>
          <w:numId w:val="70"/>
        </w:numPr>
        <w:spacing w:before="120" w:after="120" w:line="460" w:lineRule="exact"/>
        <w:ind w:left="2127" w:right="6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國民小學類科：本指標中所指稱之「了解」與「應用」，涵蓋師資生之情境應用、高層次思考、反思修正等表現，包括下列五項：</w:t>
      </w:r>
    </w:p>
    <w:p w:rsidR="00657C17" w:rsidRDefault="001A65B0">
      <w:pPr>
        <w:pStyle w:val="a6"/>
        <w:numPr>
          <w:ilvl w:val="0"/>
          <w:numId w:val="71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了解課程主要原理、課程發展與設計、課程評鑑之原則，以應用於國民小學課程、教學及評量。</w:t>
      </w:r>
    </w:p>
    <w:p w:rsidR="00657C17" w:rsidRDefault="001A65B0">
      <w:pPr>
        <w:pStyle w:val="a6"/>
        <w:numPr>
          <w:ilvl w:val="0"/>
          <w:numId w:val="29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考量社會變遷中之重要議題、課程政策與改革趨勢，以發展課程、教學及評量。</w:t>
      </w:r>
    </w:p>
    <w:p w:rsidR="00657C17" w:rsidRDefault="001A65B0">
      <w:pPr>
        <w:pStyle w:val="a6"/>
        <w:numPr>
          <w:ilvl w:val="0"/>
          <w:numId w:val="29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了解教學之主要理論與模式，以設計、實施、改善國民小學教學。</w:t>
      </w:r>
    </w:p>
    <w:p w:rsidR="00657C17" w:rsidRDefault="001A65B0">
      <w:pPr>
        <w:pStyle w:val="a6"/>
        <w:numPr>
          <w:ilvl w:val="0"/>
          <w:numId w:val="29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了解多元教學方法與策略、學習科技與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資源，以應用於國民小學教學規劃與實踐（包括探究與實作）。</w:t>
      </w:r>
    </w:p>
    <w:p w:rsidR="00657C17" w:rsidRDefault="001A65B0">
      <w:pPr>
        <w:pStyle w:val="a6"/>
        <w:numPr>
          <w:ilvl w:val="0"/>
          <w:numId w:val="29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了解與使用多元評量方法（包括使用科技），以檢視學習進展，促進學生自我成長，及指引與調整教學。</w:t>
      </w:r>
    </w:p>
    <w:p w:rsidR="00657C17" w:rsidRDefault="001A65B0">
      <w:pPr>
        <w:pStyle w:val="a6"/>
        <w:numPr>
          <w:ilvl w:val="0"/>
          <w:numId w:val="72"/>
        </w:numPr>
        <w:spacing w:before="120" w:after="120" w:line="460" w:lineRule="exact"/>
        <w:ind w:left="2127" w:right="6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中等學校類科：本指標中所指稱之「了解」與「應用」，涵蓋師資生之情境應用、高層次思考、反思修正等表現，包括下列五項：</w:t>
      </w:r>
    </w:p>
    <w:p w:rsidR="00657C17" w:rsidRDefault="001A65B0">
      <w:pPr>
        <w:pStyle w:val="a6"/>
        <w:numPr>
          <w:ilvl w:val="0"/>
          <w:numId w:val="73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了解課程主要原理、課程發展與設計、課程評鑑之原則，以應用於中等學校課程、教學及評量。</w:t>
      </w:r>
    </w:p>
    <w:p w:rsidR="00657C17" w:rsidRDefault="001A65B0">
      <w:pPr>
        <w:pStyle w:val="a6"/>
        <w:numPr>
          <w:ilvl w:val="0"/>
          <w:numId w:val="30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考量社會變遷中之重要議題、課程政策與改革趨勢，以發展課程、教學及評量。</w:t>
      </w:r>
    </w:p>
    <w:p w:rsidR="00657C17" w:rsidRDefault="001A65B0">
      <w:pPr>
        <w:pStyle w:val="a6"/>
        <w:numPr>
          <w:ilvl w:val="0"/>
          <w:numId w:val="30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了解教學之主要理論與模式，以設計、實施、改善中等學校教學。</w:t>
      </w:r>
    </w:p>
    <w:p w:rsidR="00657C17" w:rsidRDefault="001A65B0">
      <w:pPr>
        <w:pStyle w:val="a6"/>
        <w:numPr>
          <w:ilvl w:val="0"/>
          <w:numId w:val="30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了解多元教學方法與策略、學習科技與資源，以應用於中等學校教學規劃與實踐（包括探究與實作）。</w:t>
      </w:r>
    </w:p>
    <w:p w:rsidR="00657C17" w:rsidRDefault="001A65B0">
      <w:pPr>
        <w:pStyle w:val="a6"/>
        <w:numPr>
          <w:ilvl w:val="0"/>
          <w:numId w:val="30"/>
        </w:numPr>
        <w:spacing w:before="120" w:after="120" w:line="460" w:lineRule="exact"/>
        <w:ind w:left="2410" w:right="6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了解與使用多元評量方法（包括使用科技），以檢視學習進展，促進學生自我成長，及指引與調整教學。</w:t>
      </w:r>
    </w:p>
    <w:p w:rsidR="00657C17" w:rsidRDefault="001A65B0">
      <w:pPr>
        <w:pStyle w:val="Standard"/>
        <w:spacing w:line="460" w:lineRule="exact"/>
        <w:ind w:left="590" w:right="5" w:hanging="590"/>
        <w:jc w:val="both"/>
        <w:rPr>
          <w:rFonts w:ascii="Times New Roman" w:eastAsia="標楷體" w:hAnsi="Times New Roman" w:cs="標楷體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spacing w:val="6"/>
          <w:kern w:val="0"/>
          <w:sz w:val="28"/>
          <w:szCs w:val="28"/>
        </w:rPr>
        <w:t>五、各應試科目以一百分為滿分。命題如為選擇題型者，應為四選一之單選題，答錯不倒扣。</w:t>
      </w:r>
    </w:p>
    <w:p w:rsidR="00657C17" w:rsidRDefault="001A65B0">
      <w:pPr>
        <w:pStyle w:val="Standard"/>
        <w:spacing w:line="460" w:lineRule="exact"/>
        <w:ind w:left="590" w:right="5" w:hanging="590"/>
        <w:jc w:val="both"/>
        <w:rPr>
          <w:rFonts w:ascii="Times New Roman" w:eastAsia="標楷體" w:hAnsi="Times New Roman" w:cs="標楷體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spacing w:val="6"/>
          <w:kern w:val="0"/>
          <w:sz w:val="28"/>
          <w:szCs w:val="28"/>
        </w:rPr>
        <w:t>六、題庫之命題委員擬定試題，應親自為之，並嚴守秘密。</w:t>
      </w:r>
    </w:p>
    <w:p w:rsidR="00657C17" w:rsidRDefault="001A65B0">
      <w:pPr>
        <w:pStyle w:val="Standard"/>
        <w:spacing w:line="460" w:lineRule="exact"/>
        <w:ind w:left="590" w:right="5" w:hanging="590"/>
        <w:jc w:val="both"/>
        <w:rPr>
          <w:rFonts w:ascii="Times New Roman" w:eastAsia="標楷體" w:hAnsi="Times New Roman" w:cs="標楷體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標楷體"/>
          <w:spacing w:val="6"/>
          <w:kern w:val="0"/>
          <w:sz w:val="28"/>
          <w:szCs w:val="28"/>
        </w:rPr>
        <w:t>七、各科審題委員、命題委員及組題委員如有本人、配偶、三親等內之血親、姻親應考時，應行迴避。</w:t>
      </w:r>
    </w:p>
    <w:p w:rsidR="00657C17" w:rsidRDefault="00657C17">
      <w:pPr>
        <w:pStyle w:val="Standard"/>
        <w:spacing w:after="140" w:line="288" w:lineRule="auto"/>
        <w:ind w:left="567" w:hanging="567"/>
        <w:rPr>
          <w:rFonts w:ascii="標楷體" w:eastAsia="標楷體" w:hAnsi="標楷體"/>
          <w:color w:val="000000"/>
          <w:sz w:val="28"/>
          <w:lang w:eastAsia="en-US"/>
        </w:rPr>
      </w:pPr>
    </w:p>
    <w:sectPr w:rsidR="00657C17">
      <w:footerReference w:type="default" r:id="rId8"/>
      <w:pgSz w:w="11906" w:h="16838"/>
      <w:pgMar w:top="1134" w:right="1676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B0" w:rsidRDefault="001A65B0">
      <w:pPr>
        <w:rPr>
          <w:rFonts w:hint="eastAsia"/>
        </w:rPr>
      </w:pPr>
      <w:r>
        <w:separator/>
      </w:r>
    </w:p>
  </w:endnote>
  <w:endnote w:type="continuationSeparator" w:id="0">
    <w:p w:rsidR="001A65B0" w:rsidRDefault="001A65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72" w:rsidRDefault="001A65B0">
    <w:pPr>
      <w:pStyle w:val="a5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 w:rsidR="002801DE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B0" w:rsidRDefault="001A65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A65B0" w:rsidRDefault="001A65B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432"/>
    <w:multiLevelType w:val="multilevel"/>
    <w:tmpl w:val="DE04EC24"/>
    <w:styleLink w:val="WWNum2"/>
    <w:lvl w:ilvl="0">
      <w:start w:val="1"/>
      <w:numFmt w:val="japaneseCounting"/>
      <w:lvlText w:val="（%1）"/>
      <w:lvlJc w:val="left"/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D216519"/>
    <w:multiLevelType w:val="multilevel"/>
    <w:tmpl w:val="54186C62"/>
    <w:styleLink w:val="WWNum14"/>
    <w:lvl w:ilvl="0">
      <w:start w:val="1"/>
      <w:numFmt w:val="upperLetter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D330F5C"/>
    <w:multiLevelType w:val="multilevel"/>
    <w:tmpl w:val="F490C7F0"/>
    <w:styleLink w:val="WWNum24"/>
    <w:lvl w:ilvl="0">
      <w:start w:val="1"/>
      <w:numFmt w:val="upperLetter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11E70BC0"/>
    <w:multiLevelType w:val="multilevel"/>
    <w:tmpl w:val="E90C227E"/>
    <w:styleLink w:val="WWNum31"/>
    <w:lvl w:ilvl="0">
      <w:start w:val="1"/>
      <w:numFmt w:val="lowerLetter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1420401E"/>
    <w:multiLevelType w:val="multilevel"/>
    <w:tmpl w:val="0AAEEEF0"/>
    <w:styleLink w:val="WWNum30"/>
    <w:lvl w:ilvl="0">
      <w:start w:val="1"/>
      <w:numFmt w:val="upperLetter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87D37EE"/>
    <w:multiLevelType w:val="multilevel"/>
    <w:tmpl w:val="B776A0F0"/>
    <w:styleLink w:val="WWNum20"/>
    <w:lvl w:ilvl="0">
      <w:start w:val="1"/>
      <w:numFmt w:val="decimal"/>
      <w:lvlText w:val="(%1)"/>
      <w:lvlJc w:val="left"/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ED623E8"/>
    <w:multiLevelType w:val="multilevel"/>
    <w:tmpl w:val="5784EAA0"/>
    <w:styleLink w:val="WW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23193450"/>
    <w:multiLevelType w:val="multilevel"/>
    <w:tmpl w:val="33B04070"/>
    <w:styleLink w:val="WWNum12"/>
    <w:lvl w:ilvl="0">
      <w:start w:val="1"/>
      <w:numFmt w:val="upperLetter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293D566B"/>
    <w:multiLevelType w:val="multilevel"/>
    <w:tmpl w:val="044C5636"/>
    <w:styleLink w:val="WWNum1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E663512"/>
    <w:multiLevelType w:val="multilevel"/>
    <w:tmpl w:val="54EC5638"/>
    <w:styleLink w:val="WWNum1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（%2）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2FF63B4F"/>
    <w:multiLevelType w:val="multilevel"/>
    <w:tmpl w:val="2C10C8DC"/>
    <w:styleLink w:val="WWNum19"/>
    <w:lvl w:ilvl="0">
      <w:start w:val="1"/>
      <w:numFmt w:val="upperLetter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31D900AD"/>
    <w:multiLevelType w:val="multilevel"/>
    <w:tmpl w:val="3CB8E06E"/>
    <w:styleLink w:val="WWNum10"/>
    <w:lvl w:ilvl="0">
      <w:start w:val="1"/>
      <w:numFmt w:val="decimal"/>
      <w:lvlText w:val="(%1)"/>
      <w:lvlJc w:val="left"/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31F25254"/>
    <w:multiLevelType w:val="multilevel"/>
    <w:tmpl w:val="6A2A5200"/>
    <w:styleLink w:val="WWNum11"/>
    <w:lvl w:ilvl="0">
      <w:start w:val="1"/>
      <w:numFmt w:val="upperLetter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34833EB2"/>
    <w:multiLevelType w:val="multilevel"/>
    <w:tmpl w:val="0428CB12"/>
    <w:styleLink w:val="WWNum23"/>
    <w:lvl w:ilvl="0">
      <w:start w:val="1"/>
      <w:numFmt w:val="upperLetter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3A365CC7"/>
    <w:multiLevelType w:val="multilevel"/>
    <w:tmpl w:val="2B828440"/>
    <w:styleLink w:val="WWNum28"/>
    <w:lvl w:ilvl="0">
      <w:start w:val="1"/>
      <w:numFmt w:val="lowerLetter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3B847299"/>
    <w:multiLevelType w:val="multilevel"/>
    <w:tmpl w:val="6BBEB514"/>
    <w:styleLink w:val="WWNum7"/>
    <w:lvl w:ilvl="0">
      <w:start w:val="1"/>
      <w:numFmt w:val="japaneseCounting"/>
      <w:lvlText w:val="（%1）"/>
      <w:lvlJc w:val="left"/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3DB465AA"/>
    <w:multiLevelType w:val="multilevel"/>
    <w:tmpl w:val="CC82168A"/>
    <w:styleLink w:val="WWNum17"/>
    <w:lvl w:ilvl="0">
      <w:start w:val="1"/>
      <w:numFmt w:val="upperLetter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3ED47DCE"/>
    <w:multiLevelType w:val="multilevel"/>
    <w:tmpl w:val="2A069698"/>
    <w:styleLink w:val="WWNum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japaneseCounting"/>
      <w:lvlText w:val="（%2）"/>
      <w:lvlJc w:val="left"/>
      <w:rPr>
        <w:rFonts w:cs="新細明體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4BB05F35"/>
    <w:multiLevelType w:val="multilevel"/>
    <w:tmpl w:val="5FF6FEBE"/>
    <w:styleLink w:val="WWNum9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（%2）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535D6F29"/>
    <w:multiLevelType w:val="multilevel"/>
    <w:tmpl w:val="7ED427A8"/>
    <w:styleLink w:val="WWNum21"/>
    <w:lvl w:ilvl="0">
      <w:start w:val="1"/>
      <w:numFmt w:val="upperLetter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57EB1298"/>
    <w:multiLevelType w:val="multilevel"/>
    <w:tmpl w:val="02E2FB5E"/>
    <w:styleLink w:val="WWNum1"/>
    <w:lvl w:ilvl="0">
      <w:start w:val="1"/>
      <w:numFmt w:val="decimal"/>
      <w:lvlText w:val="(%1)"/>
      <w:lvlJc w:val="left"/>
      <w:rPr>
        <w:rFonts w:ascii="Times New Roman" w:hAnsi="Times New Roman" w:cs="Times New Roman"/>
        <w:sz w:val="28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sz w:val="28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583353AB"/>
    <w:multiLevelType w:val="multilevel"/>
    <w:tmpl w:val="210E7412"/>
    <w:styleLink w:val="WWNum32"/>
    <w:lvl w:ilvl="0">
      <w:start w:val="1"/>
      <w:numFmt w:val="upperLetter"/>
      <w:lvlText w:val="%1."/>
      <w:lvlJc w:val="left"/>
      <w:rPr>
        <w:rFonts w:ascii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61B763B7"/>
    <w:multiLevelType w:val="multilevel"/>
    <w:tmpl w:val="52AAB880"/>
    <w:styleLink w:val="WWNum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61BB7C73"/>
    <w:multiLevelType w:val="multilevel"/>
    <w:tmpl w:val="5B0C484A"/>
    <w:styleLink w:val="WWNum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66BD2BA2"/>
    <w:multiLevelType w:val="multilevel"/>
    <w:tmpl w:val="253A95F6"/>
    <w:styleLink w:val="WWNum22"/>
    <w:lvl w:ilvl="0">
      <w:start w:val="1"/>
      <w:numFmt w:val="upperLetter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6D924DF9"/>
    <w:multiLevelType w:val="multilevel"/>
    <w:tmpl w:val="304677A6"/>
    <w:styleLink w:val="WWNum6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71CC6640"/>
    <w:multiLevelType w:val="multilevel"/>
    <w:tmpl w:val="D4E28DD4"/>
    <w:styleLink w:val="WWNum16"/>
    <w:lvl w:ilvl="0">
      <w:start w:val="1"/>
      <w:numFmt w:val="decimal"/>
      <w:lvlText w:val="(%1)"/>
      <w:lvlJc w:val="left"/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75DB2F3D"/>
    <w:multiLevelType w:val="multilevel"/>
    <w:tmpl w:val="E23239C8"/>
    <w:styleLink w:val="WWNum2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78C60C4B"/>
    <w:multiLevelType w:val="multilevel"/>
    <w:tmpl w:val="76FAB0CE"/>
    <w:styleLink w:val="WWNum27"/>
    <w:lvl w:ilvl="0">
      <w:start w:val="1"/>
      <w:numFmt w:val="upperLetter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7AA6147C"/>
    <w:multiLevelType w:val="multilevel"/>
    <w:tmpl w:val="2340BEBE"/>
    <w:styleLink w:val="WWNum29"/>
    <w:lvl w:ilvl="0">
      <w:start w:val="1"/>
      <w:numFmt w:val="upperLetter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7B703F43"/>
    <w:multiLevelType w:val="multilevel"/>
    <w:tmpl w:val="651AEED4"/>
    <w:styleLink w:val="WWNum26"/>
    <w:lvl w:ilvl="0">
      <w:start w:val="1"/>
      <w:numFmt w:val="decimal"/>
      <w:lvlText w:val="(%1)"/>
      <w:lvlJc w:val="left"/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7E7E092B"/>
    <w:multiLevelType w:val="multilevel"/>
    <w:tmpl w:val="E79E2CBA"/>
    <w:styleLink w:val="WWNum18"/>
    <w:lvl w:ilvl="0">
      <w:start w:val="1"/>
      <w:numFmt w:val="upperLetter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22"/>
  </w:num>
  <w:num w:numId="5">
    <w:abstractNumId w:val="17"/>
  </w:num>
  <w:num w:numId="6">
    <w:abstractNumId w:val="25"/>
  </w:num>
  <w:num w:numId="7">
    <w:abstractNumId w:val="15"/>
  </w:num>
  <w:num w:numId="8">
    <w:abstractNumId w:val="6"/>
  </w:num>
  <w:num w:numId="9">
    <w:abstractNumId w:val="18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8"/>
  </w:num>
  <w:num w:numId="16">
    <w:abstractNumId w:val="26"/>
  </w:num>
  <w:num w:numId="17">
    <w:abstractNumId w:val="16"/>
  </w:num>
  <w:num w:numId="18">
    <w:abstractNumId w:val="31"/>
  </w:num>
  <w:num w:numId="19">
    <w:abstractNumId w:val="10"/>
  </w:num>
  <w:num w:numId="20">
    <w:abstractNumId w:val="5"/>
  </w:num>
  <w:num w:numId="21">
    <w:abstractNumId w:val="19"/>
  </w:num>
  <w:num w:numId="22">
    <w:abstractNumId w:val="24"/>
  </w:num>
  <w:num w:numId="23">
    <w:abstractNumId w:val="13"/>
  </w:num>
  <w:num w:numId="24">
    <w:abstractNumId w:val="2"/>
  </w:num>
  <w:num w:numId="25">
    <w:abstractNumId w:val="27"/>
  </w:num>
  <w:num w:numId="26">
    <w:abstractNumId w:val="30"/>
  </w:num>
  <w:num w:numId="27">
    <w:abstractNumId w:val="28"/>
  </w:num>
  <w:num w:numId="28">
    <w:abstractNumId w:val="14"/>
  </w:num>
  <w:num w:numId="29">
    <w:abstractNumId w:val="29"/>
  </w:num>
  <w:num w:numId="30">
    <w:abstractNumId w:val="4"/>
  </w:num>
  <w:num w:numId="31">
    <w:abstractNumId w:val="3"/>
  </w:num>
  <w:num w:numId="32">
    <w:abstractNumId w:val="21"/>
  </w:num>
  <w:num w:numId="33">
    <w:abstractNumId w:val="23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20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26"/>
    <w:lvlOverride w:ilvl="0">
      <w:startOverride w:val="1"/>
    </w:lvlOverride>
  </w:num>
  <w:num w:numId="46">
    <w:abstractNumId w:val="1"/>
    <w:lvlOverride w:ilvl="0">
      <w:startOverride w:val="1"/>
    </w:lvlOverride>
  </w:num>
  <w:num w:numId="47">
    <w:abstractNumId w:val="26"/>
    <w:lvlOverride w:ilvl="0">
      <w:startOverride w:val="1"/>
    </w:lvlOverride>
  </w:num>
  <w:num w:numId="48">
    <w:abstractNumId w:val="16"/>
    <w:lvlOverride w:ilvl="0">
      <w:startOverride w:val="1"/>
    </w:lvlOverride>
  </w:num>
  <w:num w:numId="49">
    <w:abstractNumId w:val="26"/>
    <w:lvlOverride w:ilvl="0">
      <w:startOverride w:val="1"/>
    </w:lvlOverride>
  </w:num>
  <w:num w:numId="50">
    <w:abstractNumId w:val="31"/>
    <w:lvlOverride w:ilvl="0">
      <w:startOverride w:val="1"/>
    </w:lvlOverride>
  </w:num>
  <w:num w:numId="51">
    <w:abstractNumId w:val="26"/>
    <w:lvlOverride w:ilvl="0">
      <w:startOverride w:val="1"/>
    </w:lvlOverride>
  </w:num>
  <w:num w:numId="52">
    <w:abstractNumId w:val="10"/>
    <w:lvlOverride w:ilvl="0">
      <w:startOverride w:val="1"/>
    </w:lvlOverride>
  </w:num>
  <w:num w:numId="53">
    <w:abstractNumId w:val="8"/>
    <w:lvlOverride w:ilvl="0">
      <w:startOverride w:val="1"/>
    </w:lvlOverride>
  </w:num>
  <w:num w:numId="54">
    <w:abstractNumId w:val="5"/>
    <w:lvlOverride w:ilvl="0">
      <w:startOverride w:val="1"/>
    </w:lvlOverride>
  </w:num>
  <w:num w:numId="55">
    <w:abstractNumId w:val="19"/>
    <w:lvlOverride w:ilvl="0">
      <w:startOverride w:val="1"/>
    </w:lvlOverride>
  </w:num>
  <w:num w:numId="56">
    <w:abstractNumId w:val="5"/>
    <w:lvlOverride w:ilvl="0">
      <w:startOverride w:val="1"/>
    </w:lvlOverride>
  </w:num>
  <w:num w:numId="57">
    <w:abstractNumId w:val="24"/>
    <w:lvlOverride w:ilvl="0">
      <w:startOverride w:val="1"/>
    </w:lvlOverride>
  </w:num>
  <w:num w:numId="58">
    <w:abstractNumId w:val="5"/>
    <w:lvlOverride w:ilvl="0">
      <w:startOverride w:val="1"/>
    </w:lvlOverride>
  </w:num>
  <w:num w:numId="59">
    <w:abstractNumId w:val="13"/>
    <w:lvlOverride w:ilvl="0">
      <w:startOverride w:val="1"/>
    </w:lvlOverride>
  </w:num>
  <w:num w:numId="60">
    <w:abstractNumId w:val="5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27"/>
    <w:lvlOverride w:ilvl="0">
      <w:startOverride w:val="1"/>
    </w:lvlOverride>
  </w:num>
  <w:num w:numId="63">
    <w:abstractNumId w:val="30"/>
    <w:lvlOverride w:ilvl="0">
      <w:startOverride w:val="1"/>
    </w:lvlOverride>
  </w:num>
  <w:num w:numId="64">
    <w:abstractNumId w:val="28"/>
    <w:lvlOverride w:ilvl="0">
      <w:startOverride w:val="1"/>
    </w:lvlOverride>
  </w:num>
  <w:num w:numId="65">
    <w:abstractNumId w:val="30"/>
    <w:lvlOverride w:ilvl="0">
      <w:startOverride w:val="1"/>
    </w:lvlOverride>
  </w:num>
  <w:num w:numId="66">
    <w:abstractNumId w:val="21"/>
    <w:lvlOverride w:ilvl="0">
      <w:startOverride w:val="1"/>
    </w:lvlOverride>
  </w:num>
  <w:num w:numId="67">
    <w:abstractNumId w:val="14"/>
    <w:lvlOverride w:ilvl="0">
      <w:startOverride w:val="1"/>
    </w:lvlOverride>
  </w:num>
  <w:num w:numId="68">
    <w:abstractNumId w:val="21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30"/>
    <w:lvlOverride w:ilvl="0">
      <w:startOverride w:val="1"/>
    </w:lvlOverride>
  </w:num>
  <w:num w:numId="71">
    <w:abstractNumId w:val="29"/>
    <w:lvlOverride w:ilvl="0">
      <w:startOverride w:val="1"/>
    </w:lvlOverride>
  </w:num>
  <w:num w:numId="72">
    <w:abstractNumId w:val="30"/>
    <w:lvlOverride w:ilvl="0">
      <w:startOverride w:val="1"/>
    </w:lvlOverride>
  </w:num>
  <w:num w:numId="73">
    <w:abstractNumId w:val="4"/>
    <w:lvlOverride w:ilvl="0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7C17"/>
    <w:rsid w:val="001A65B0"/>
    <w:rsid w:val="002801DE"/>
    <w:rsid w:val="0065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pPr>
      <w:textAlignment w:val="auto"/>
    </w:pPr>
    <w:rPr>
      <w:rFonts w:ascii="Calibri" w:hAnsi="Calibri" w:cs="Calibri"/>
      <w:szCs w:val="22"/>
      <w:lang w:bidi="ar-SA"/>
    </w:rPr>
  </w:style>
  <w:style w:type="paragraph" w:styleId="a6">
    <w:name w:val="List Paragraph"/>
    <w:basedOn w:val="Standard"/>
    <w:pPr>
      <w:ind w:left="48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Times New Roman"/>
      <w:sz w:val="28"/>
    </w:rPr>
  </w:style>
  <w:style w:type="character" w:customStyle="1" w:styleId="ListLabel2">
    <w:name w:val="ListLabel 2"/>
    <w:rPr>
      <w:rFonts w:ascii="Times New Roman" w:hAnsi="Times New Roman" w:cs="Times New Roman"/>
      <w:sz w:val="28"/>
    </w:rPr>
  </w:style>
  <w:style w:type="character" w:customStyle="1" w:styleId="ListLabel3">
    <w:name w:val="ListLabel 3"/>
    <w:rPr>
      <w:rFonts w:ascii="Times New Roman" w:hAnsi="Times New Roman" w:cs="Times New Roman"/>
      <w:sz w:val="28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hAnsi="Times New Roman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hAnsi="Times New Roman" w:cs="Times New Roman"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Times New Roman" w:hAnsi="Times New Roman" w:cs="Times New Roman"/>
      <w:sz w:val="28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Times New Roman" w:hAnsi="Times New Roman" w:cs="Times New Roman"/>
      <w:sz w:val="28"/>
    </w:rPr>
  </w:style>
  <w:style w:type="character" w:customStyle="1" w:styleId="ListLabel38">
    <w:name w:val="ListLabel 38"/>
    <w:rPr>
      <w:rFonts w:cs="新細明體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Times New Roman" w:hAnsi="Times New Roman" w:cs="Times New Roman"/>
      <w:sz w:val="28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Times New Roman" w:hAnsi="Times New Roman" w:cs="Times New Roman"/>
      <w:sz w:val="28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Times New Roman" w:hAnsi="Times New Roman" w:cs="Times New Roman"/>
      <w:sz w:val="28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ascii="Times New Roman" w:hAnsi="Times New Roman" w:cs="Times New Roman"/>
      <w:sz w:val="28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ascii="Times New Roman" w:hAnsi="Times New Roman" w:cs="Times New Roman"/>
      <w:sz w:val="28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ascii="Times New Roman" w:hAnsi="Times New Roman" w:cs="Times New Roman"/>
      <w:sz w:val="28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ascii="Times New Roman" w:hAnsi="Times New Roman" w:cs="Times New Roman"/>
      <w:sz w:val="28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Times New Roman" w:hAnsi="Times New Roman" w:cs="Times New Roman"/>
      <w:sz w:val="28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Times New Roman" w:hAnsi="Times New Roman" w:cs="Times New Roman"/>
      <w:sz w:val="28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Times New Roman" w:hAnsi="Times New Roman" w:cs="Times New Roman"/>
      <w:sz w:val="28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Times New Roman" w:hAnsi="Times New Roman" w:cs="Times New Roman"/>
      <w:sz w:val="28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Times New Roman" w:hAnsi="Times New Roman" w:cs="Times New Roman"/>
      <w:sz w:val="28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Times New Roman" w:hAnsi="Times New Roman" w:cs="Times New Roman"/>
      <w:sz w:val="28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Times New Roman" w:hAnsi="Times New Roman" w:cs="Times New Roman"/>
      <w:sz w:val="28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Times New Roman" w:hAnsi="Times New Roman" w:cs="Times New Roman"/>
      <w:sz w:val="28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Times New Roman" w:hAnsi="Times New Roman" w:cs="Times New Roman"/>
      <w:sz w:val="28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Times New Roman" w:hAnsi="Times New Roman" w:cs="Times New Roman"/>
      <w:sz w:val="28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Times New Roman" w:hAnsi="Times New Roman" w:cs="Times New Roman"/>
      <w:sz w:val="28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Times New Roman" w:hAnsi="Times New Roman" w:cs="Times New Roman"/>
      <w:sz w:val="28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Times New Roman" w:hAnsi="Times New Roman" w:cs="Times New Roman"/>
      <w:sz w:val="28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Times New Roman" w:hAnsi="Times New Roman" w:cs="Times New Roman"/>
      <w:sz w:val="28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Times New Roman" w:hAnsi="Times New Roman" w:cs="Times New Roman"/>
      <w:sz w:val="28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Times New Roman" w:hAnsi="Times New Roman" w:cs="Times New Roman"/>
      <w:sz w:val="28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Times New Roman" w:hAnsi="Times New Roman" w:cs="Times New Roman"/>
      <w:sz w:val="28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Times New Roman" w:hAnsi="Times New Roman" w:cs="Times New Roman"/>
      <w:sz w:val="28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Times New Roman" w:hAnsi="Times New Roman" w:cs="Times New Roman"/>
      <w:sz w:val="28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標楷體" w:hAnsi="標楷體" w:cs="Times New Roman"/>
      <w:sz w:val="28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pPr>
      <w:textAlignment w:val="auto"/>
    </w:pPr>
    <w:rPr>
      <w:rFonts w:ascii="Calibri" w:hAnsi="Calibri" w:cs="Calibri"/>
      <w:szCs w:val="22"/>
      <w:lang w:bidi="ar-SA"/>
    </w:rPr>
  </w:style>
  <w:style w:type="paragraph" w:styleId="a6">
    <w:name w:val="List Paragraph"/>
    <w:basedOn w:val="Standard"/>
    <w:pPr>
      <w:ind w:left="48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Times New Roman"/>
      <w:sz w:val="28"/>
    </w:rPr>
  </w:style>
  <w:style w:type="character" w:customStyle="1" w:styleId="ListLabel2">
    <w:name w:val="ListLabel 2"/>
    <w:rPr>
      <w:rFonts w:ascii="Times New Roman" w:hAnsi="Times New Roman" w:cs="Times New Roman"/>
      <w:sz w:val="28"/>
    </w:rPr>
  </w:style>
  <w:style w:type="character" w:customStyle="1" w:styleId="ListLabel3">
    <w:name w:val="ListLabel 3"/>
    <w:rPr>
      <w:rFonts w:ascii="Times New Roman" w:hAnsi="Times New Roman" w:cs="Times New Roman"/>
      <w:sz w:val="28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hAnsi="Times New Roman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hAnsi="Times New Roman" w:cs="Times New Roman"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Times New Roman" w:hAnsi="Times New Roman" w:cs="Times New Roman"/>
      <w:sz w:val="28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Times New Roman" w:hAnsi="Times New Roman" w:cs="Times New Roman"/>
      <w:sz w:val="28"/>
    </w:rPr>
  </w:style>
  <w:style w:type="character" w:customStyle="1" w:styleId="ListLabel38">
    <w:name w:val="ListLabel 38"/>
    <w:rPr>
      <w:rFonts w:cs="新細明體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Times New Roman" w:hAnsi="Times New Roman" w:cs="Times New Roman"/>
      <w:sz w:val="28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Times New Roman" w:hAnsi="Times New Roman" w:cs="Times New Roman"/>
      <w:sz w:val="28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Times New Roman" w:hAnsi="Times New Roman" w:cs="Times New Roman"/>
      <w:sz w:val="28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ascii="Times New Roman" w:hAnsi="Times New Roman" w:cs="Times New Roman"/>
      <w:sz w:val="28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ascii="Times New Roman" w:hAnsi="Times New Roman" w:cs="Times New Roman"/>
      <w:sz w:val="28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ascii="Times New Roman" w:hAnsi="Times New Roman" w:cs="Times New Roman"/>
      <w:sz w:val="28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ascii="Times New Roman" w:hAnsi="Times New Roman" w:cs="Times New Roman"/>
      <w:sz w:val="28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Times New Roman" w:hAnsi="Times New Roman" w:cs="Times New Roman"/>
      <w:sz w:val="28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Times New Roman" w:hAnsi="Times New Roman" w:cs="Times New Roman"/>
      <w:sz w:val="28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Times New Roman" w:hAnsi="Times New Roman" w:cs="Times New Roman"/>
      <w:sz w:val="28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Times New Roman" w:hAnsi="Times New Roman" w:cs="Times New Roman"/>
      <w:sz w:val="28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Times New Roman" w:hAnsi="Times New Roman" w:cs="Times New Roman"/>
      <w:sz w:val="28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Times New Roman" w:hAnsi="Times New Roman" w:cs="Times New Roman"/>
      <w:sz w:val="28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Times New Roman" w:hAnsi="Times New Roman" w:cs="Times New Roman"/>
      <w:sz w:val="28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Times New Roman" w:hAnsi="Times New Roman" w:cs="Times New Roman"/>
      <w:sz w:val="28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Times New Roman" w:hAnsi="Times New Roman" w:cs="Times New Roman"/>
      <w:sz w:val="28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Times New Roman" w:hAnsi="Times New Roman" w:cs="Times New Roman"/>
      <w:sz w:val="28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Times New Roman" w:hAnsi="Times New Roman" w:cs="Times New Roman"/>
      <w:sz w:val="28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Times New Roman" w:hAnsi="Times New Roman" w:cs="Times New Roman"/>
      <w:sz w:val="28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Times New Roman" w:hAnsi="Times New Roman" w:cs="Times New Roman"/>
      <w:sz w:val="28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Times New Roman" w:hAnsi="Times New Roman" w:cs="Times New Roman"/>
      <w:sz w:val="28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Times New Roman" w:hAnsi="Times New Roman" w:cs="Times New Roman"/>
      <w:sz w:val="28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Times New Roman" w:hAnsi="Times New Roman" w:cs="Times New Roman"/>
      <w:sz w:val="28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Times New Roman" w:hAnsi="Times New Roman" w:cs="Times New Roman"/>
      <w:sz w:val="28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Times New Roman" w:hAnsi="Times New Roman" w:cs="Times New Roman"/>
      <w:sz w:val="28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Times New Roman" w:hAnsi="Times New Roman" w:cs="Times New Roman"/>
      <w:sz w:val="28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標楷體" w:hAnsi="標楷體" w:cs="Times New Roman"/>
      <w:sz w:val="28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2020-10-27T15:32:00Z</cp:lastPrinted>
  <dcterms:created xsi:type="dcterms:W3CDTF">2017-07-13T12:13:00Z</dcterms:created>
  <dcterms:modified xsi:type="dcterms:W3CDTF">2020-11-16T05:27:00Z</dcterms:modified>
</cp:coreProperties>
</file>