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2B68BD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5243799</wp:posOffset>
            </wp:positionH>
            <wp:positionV relativeFrom="paragraph">
              <wp:posOffset>4415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5A5ACE" w:rsidRDefault="002B68BD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遊戲治療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</w:p>
    <w:p w:rsidR="005A5ACE" w:rsidRDefault="002B68BD">
      <w:pPr>
        <w:spacing w:before="180" w:line="0" w:lineRule="atLeast"/>
        <w:ind w:left="709"/>
      </w:pPr>
      <w:proofErr w:type="gramStart"/>
      <w:r>
        <w:rPr>
          <w:rFonts w:ascii="標楷體" w:eastAsia="標楷體" w:hAnsi="標楷體" w:cs="Segoe UI Symbol"/>
          <w:sz w:val="24"/>
          <w:szCs w:val="24"/>
        </w:rPr>
        <w:t>鑑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於「遊戲」是兒童最自然的溝通媒介，也是自我表達情緒、想法和行動的工具。本課程</w:t>
      </w:r>
      <w:r>
        <w:rPr>
          <w:rFonts w:ascii="標楷體" w:eastAsia="標楷體" w:hAnsi="標楷體" w:cs="Segoe UI Symbol"/>
          <w:sz w:val="24"/>
          <w:szCs w:val="24"/>
        </w:rPr>
        <w:t>在遊戲治療中，兒童的遊戲將實際的現象以隱喻的方式表達、溝通、教導及學習，幫助兒童的想像力</w:t>
      </w:r>
      <w:bookmarkStart w:id="0" w:name="_GoBack"/>
      <w:bookmarkEnd w:id="0"/>
      <w:r>
        <w:rPr>
          <w:rFonts w:ascii="標楷體" w:eastAsia="標楷體" w:hAnsi="標楷體" w:cs="Segoe UI Symbol"/>
          <w:sz w:val="24"/>
          <w:szCs w:val="24"/>
        </w:rPr>
        <w:t>免於束縛，使其經驗得以再現，治療者有機會去瞭解兒童對此經驗的反應、感受及想法，兒童有機會重新整理，將現實中無法掌控的部份化為可掌控的，可以發洩精力、發洩競爭的需求、學習生活中的責任、達成困難的目標，及重新體驗挫折，使情緒獲得消散、以社會接納的方式來表達攻擊性，以及學習如何與別人相處和學到新的解決方法。</w:t>
      </w:r>
    </w:p>
    <w:p w:rsidR="005A5ACE" w:rsidRDefault="002B68BD">
      <w:pPr>
        <w:spacing w:before="180" w:line="0" w:lineRule="atLeast"/>
        <w:ind w:left="1922" w:hanging="1216"/>
        <w:jc w:val="both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由本校教務處數位學習組及專業訓練機構共同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學習課程，學員依規定完成所有線上數位課程後，將頒發國立彰化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師範大學「輔導諮商精製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遊戲治療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研習證書」，教師及公務人員可登錄研習時數。。</w:t>
      </w:r>
    </w:p>
    <w:p w:rsidR="005A5ACE" w:rsidRDefault="002B68BD">
      <w:pPr>
        <w:spacing w:before="180" w:line="0" w:lineRule="atLeast"/>
        <w:ind w:left="2268" w:hanging="156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對遊戲治療有興趣之心理師、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專輔教師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、社工師、相關系所研究生、及相關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兒童輔導實務工作者。</w:t>
      </w:r>
    </w:p>
    <w:p w:rsidR="005A5ACE" w:rsidRDefault="002B68BD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5A5ACE" w:rsidRDefault="002B68BD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適合第一線接觸輔導諮商工作者。</w:t>
      </w:r>
    </w:p>
    <w:p w:rsidR="005A5ACE" w:rsidRDefault="002B68BD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5A5ACE" w:rsidRDefault="002B68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5A5ACE" w:rsidRDefault="002B68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840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756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672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5A5ACE" w:rsidRDefault="002B68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5A5ACE" w:rsidRDefault="002B68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5A5ACE" w:rsidRDefault="002B68B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5A5ACE" w:rsidRDefault="002B68B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5A5ACE" w:rsidRDefault="002B68B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5A5ACE" w:rsidRDefault="002B68BD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5A5ACE" w:rsidRDefault="002B68BD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5A5ACE" w:rsidRDefault="002B68B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5A5ACE" w:rsidRDefault="002B68B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5A5ACE" w:rsidRDefault="002B68BD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lastRenderedPageBreak/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5A5ACE" w:rsidRDefault="002B68BD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國立彰化師範大教務處數位學習組</w:t>
      </w:r>
    </w:p>
    <w:p w:rsidR="005A5ACE" w:rsidRDefault="002B68BD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5A5ACE" w:rsidRDefault="002B68BD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5A5ACE" w:rsidRDefault="002B68B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5A5A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課程單元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課程大綱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上課時間及地點</w:t>
            </w:r>
          </w:p>
        </w:tc>
      </w:tr>
      <w:tr w:rsidR="005A5AC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1-</w:t>
            </w:r>
          </w:p>
          <w:p w:rsidR="005A5ACE" w:rsidRDefault="002B68BD">
            <w:pPr>
              <w:spacing w:line="260" w:lineRule="exact"/>
            </w:pPr>
            <w:r>
              <w:rPr>
                <w:rFonts w:eastAsia="標楷體"/>
              </w:rPr>
              <w:t>遊戲治療的理論基礎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遊戲治療的歷史與發展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遊戲的意義與功能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遊戲治療的定義、目標與相關運用</w:t>
            </w:r>
          </w:p>
          <w:p w:rsidR="005A5ACE" w:rsidRDefault="002B68BD">
            <w:pPr>
              <w:widowControl w:val="0"/>
              <w:spacing w:line="260" w:lineRule="exac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遊戲治療師的條件與訓練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本課程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為線上數位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課程，在開課時間內，任何時間都可觀看。</w:t>
            </w:r>
          </w:p>
          <w:p w:rsidR="005A5ACE" w:rsidRDefault="002B68B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使用彰化師大雲端學院。</w:t>
            </w:r>
          </w:p>
        </w:tc>
      </w:tr>
      <w:tr w:rsidR="005A5AC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2-</w:t>
            </w:r>
          </w:p>
          <w:p w:rsidR="005A5ACE" w:rsidRDefault="002B68BD">
            <w:pPr>
              <w:spacing w:line="260" w:lineRule="exact"/>
            </w:pPr>
            <w:r>
              <w:rPr>
                <w:rFonts w:eastAsia="標楷體"/>
              </w:rPr>
              <w:t>遊戲治療的執行架構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遊戲室與遊戲材料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遊戲治療進行的基本</w:t>
            </w:r>
            <w:proofErr w:type="gramStart"/>
            <w:r>
              <w:rPr>
                <w:rFonts w:eastAsia="標楷體"/>
              </w:rPr>
              <w:t>架構與流成</w:t>
            </w:r>
            <w:proofErr w:type="gramEnd"/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父母的角色與參與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遊戲治療關係的開始</w:t>
            </w:r>
          </w:p>
          <w:p w:rsidR="005A5ACE" w:rsidRDefault="002B68BD">
            <w:pPr>
              <w:widowControl w:val="0"/>
              <w:spacing w:line="260" w:lineRule="exact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建立關係的基本態度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5A5AC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A5AC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3-</w:t>
            </w:r>
          </w:p>
          <w:p w:rsidR="005A5ACE" w:rsidRDefault="002B68BD">
            <w:pPr>
              <w:spacing w:line="260" w:lineRule="exact"/>
            </w:pPr>
            <w:r>
              <w:rPr>
                <w:rFonts w:eastAsia="標楷體"/>
                <w:szCs w:val="24"/>
              </w:rPr>
              <w:t>遊戲治療的技巧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非口語行為與口語技巧的基本原則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建立關係的技巧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精進反應的技巧</w:t>
            </w:r>
          </w:p>
          <w:p w:rsidR="005A5ACE" w:rsidRDefault="002B68BD">
            <w:pPr>
              <w:widowControl w:val="0"/>
              <w:spacing w:line="260" w:lineRule="exac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治療性設限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5A5AC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A5AC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4-</w:t>
            </w:r>
          </w:p>
          <w:p w:rsidR="005A5ACE" w:rsidRDefault="002B68BD">
            <w:pPr>
              <w:spacing w:line="260" w:lineRule="exact"/>
            </w:pPr>
            <w:r>
              <w:rPr>
                <w:rFonts w:eastAsia="標楷體"/>
              </w:rPr>
              <w:t>遊戲治療實務的重要議題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常見典型的兒童行為問題與因應之道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遊戲治療歷程中常見的議題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遊戲歷程的評估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遊戲治療的結案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家長諮詢</w:t>
            </w:r>
          </w:p>
          <w:p w:rsidR="005A5ACE" w:rsidRDefault="002B68B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遊戲治療的紀錄</w:t>
            </w:r>
          </w:p>
          <w:p w:rsidR="005A5ACE" w:rsidRDefault="002B68BD">
            <w:pPr>
              <w:widowControl w:val="0"/>
              <w:spacing w:line="260" w:lineRule="exac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遊戲治療的專業成長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5A5AC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5A5ACE" w:rsidRDefault="002B68B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5A5ACE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5A5ACE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高淑貞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美國北德州立大學諮商哲學博士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遊戲治療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表達性治療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兒童青少年期偏差行為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親子關係與父母諮詢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諮商師督導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國立彰化師大輔導與</w:t>
            </w:r>
            <w:proofErr w:type="gramStart"/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商學系專任教授</w:t>
            </w: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 xml:space="preserve"> 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國立彰化師大教務長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國立彰化師大學生事務長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國立彰化師大教育學院院長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國立彰化師大輔導與諮商學系主任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國立彰化師大社區諮商與潛能發展中心主任</w:t>
            </w: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 xml:space="preserve"> </w:t>
            </w:r>
          </w:p>
          <w:p w:rsidR="005A5ACE" w:rsidRDefault="002B68BD">
            <w:pPr>
              <w:pStyle w:val="a3"/>
              <w:numPr>
                <w:ilvl w:val="0"/>
                <w:numId w:val="3"/>
              </w:numPr>
              <w:spacing w:line="0" w:lineRule="atLeast"/>
              <w:ind w:left="317" w:hanging="317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台灣遊戲治療學會創會理事長</w:t>
            </w: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 xml:space="preserve"> </w:t>
            </w:r>
          </w:p>
          <w:p w:rsidR="005A5ACE" w:rsidRDefault="005A5ACE">
            <w:pPr>
              <w:widowControl w:val="0"/>
              <w:autoSpaceDE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A5ACE" w:rsidRDefault="005A5AC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5A5ACE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BD" w:rsidRDefault="002B68BD">
      <w:pPr>
        <w:spacing w:line="240" w:lineRule="auto"/>
      </w:pPr>
      <w:r>
        <w:separator/>
      </w:r>
    </w:p>
  </w:endnote>
  <w:endnote w:type="continuationSeparator" w:id="0">
    <w:p w:rsidR="002B68BD" w:rsidRDefault="002B6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0A" w:rsidRDefault="002B68BD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3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D3D0A" w:rsidRDefault="002B68BD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BD" w:rsidRDefault="002B68BD">
      <w:pPr>
        <w:spacing w:line="240" w:lineRule="auto"/>
      </w:pPr>
      <w:r>
        <w:separator/>
      </w:r>
    </w:p>
  </w:footnote>
  <w:footnote w:type="continuationSeparator" w:id="0">
    <w:p w:rsidR="002B68BD" w:rsidRDefault="002B6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0A" w:rsidRDefault="002B68BD">
    <w:pPr>
      <w:pStyle w:val="a4"/>
    </w:pPr>
  </w:p>
  <w:p w:rsidR="006D3D0A" w:rsidRDefault="002B68BD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D3D0A" w:rsidRDefault="002B68BD">
    <w:pPr>
      <w:pStyle w:val="a4"/>
    </w:pPr>
    <w:r>
      <w:rPr>
        <w:rFonts w:ascii="標楷體" w:eastAsia="標楷體" w:hAnsi="標楷體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-630</wp:posOffset>
              </wp:positionV>
              <wp:extent cx="1242697" cy="196852"/>
              <wp:effectExtent l="0" t="0" r="14603" b="12698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96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mpd="dbl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6D3D0A" w:rsidRDefault="002B68B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推廣教育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非學分班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.05pt;width:97.85pt;height:1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" strokeweight=".26467mm">
              <v:stroke linestyle="thinThin"/>
              <v:textbox inset="0,0,0,0">
                <w:txbxContent>
                  <w:p w:rsidR="006D3D0A" w:rsidRDefault="002B68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推廣教育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非學分班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065"/>
    <w:multiLevelType w:val="multilevel"/>
    <w:tmpl w:val="B48C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5823B1"/>
    <w:multiLevelType w:val="multilevel"/>
    <w:tmpl w:val="FE08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04DFB"/>
    <w:multiLevelType w:val="multilevel"/>
    <w:tmpl w:val="A456209E"/>
    <w:lvl w:ilvl="0">
      <w:numFmt w:val="bullet"/>
      <w:lvlText w:val=""/>
      <w:lvlJc w:val="left"/>
      <w:pPr>
        <w:ind w:left="73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5ACE"/>
    <w:rsid w:val="002B68BD"/>
    <w:rsid w:val="002E38F0"/>
    <w:rsid w:val="005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3F427-8BB8-4442-9BF5-0E497094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2019-01-18T00:24:00Z</cp:lastPrinted>
  <dcterms:created xsi:type="dcterms:W3CDTF">2020-06-10T09:03:00Z</dcterms:created>
  <dcterms:modified xsi:type="dcterms:W3CDTF">2020-06-10T09:03:00Z</dcterms:modified>
</cp:coreProperties>
</file>