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4C" w:rsidRDefault="00591EA0">
      <w:pPr>
        <w:widowControl/>
        <w:spacing w:line="480" w:lineRule="exact"/>
        <w:jc w:val="center"/>
      </w:pP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臺南市政府少年輔導委員會</w:t>
      </w:r>
      <w:r>
        <w:rPr>
          <w:rFonts w:eastAsia="標楷體"/>
          <w:b/>
          <w:bCs/>
          <w:sz w:val="32"/>
          <w:szCs w:val="32"/>
        </w:rPr>
        <w:t>毒品防制基金業務計畫</w:t>
      </w:r>
    </w:p>
    <w:p w:rsidR="00A8274C" w:rsidRDefault="00591EA0">
      <w:pPr>
        <w:spacing w:after="156" w:line="480" w:lineRule="exact"/>
        <w:jc w:val="center"/>
        <w:outlineLvl w:val="4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「無毒府城、少年不輟」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—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急難金申請</w:t>
      </w:r>
    </w:p>
    <w:bookmarkEnd w:id="0"/>
    <w:p w:rsidR="00A8274C" w:rsidRDefault="00A8274C">
      <w:pPr>
        <w:spacing w:after="156" w:line="160" w:lineRule="exact"/>
        <w:jc w:val="center"/>
        <w:outlineLvl w:val="4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bCs/>
          <w:sz w:val="28"/>
          <w:szCs w:val="28"/>
        </w:rPr>
        <w:t>壹、目的：</w:t>
      </w:r>
      <w:r>
        <w:rPr>
          <w:rFonts w:eastAsia="標楷體"/>
          <w:bCs/>
          <w:sz w:val="28"/>
          <w:szCs w:val="28"/>
        </w:rPr>
        <w:t>提供曝險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涉毒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、高關懷少年就學、就業、就醫</w:t>
      </w:r>
      <w:r>
        <w:rPr>
          <w:rFonts w:ascii="標楷體" w:eastAsia="標楷體" w:hAnsi="標楷體"/>
          <w:bCs/>
          <w:sz w:val="28"/>
          <w:szCs w:val="28"/>
        </w:rPr>
        <w:t>、</w:t>
      </w:r>
      <w:r>
        <w:rPr>
          <w:rFonts w:eastAsia="標楷體"/>
          <w:bCs/>
          <w:sz w:val="28"/>
          <w:szCs w:val="28"/>
        </w:rPr>
        <w:t>家庭扶助等協助，</w:t>
      </w:r>
    </w:p>
    <w:p w:rsidR="00A8274C" w:rsidRDefault="00591EA0">
      <w:pPr>
        <w:widowControl/>
        <w:spacing w:line="520" w:lineRule="exact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</w:t>
      </w:r>
      <w:r>
        <w:rPr>
          <w:rFonts w:eastAsia="標楷體"/>
          <w:bCs/>
          <w:sz w:val="28"/>
          <w:szCs w:val="28"/>
        </w:rPr>
        <w:t>穩定個案生活與學習、降低涉毒風險或問題行為深化。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bCs/>
          <w:sz w:val="28"/>
          <w:szCs w:val="28"/>
        </w:rPr>
        <w:t>貳、實施對象：</w:t>
      </w:r>
      <w:r>
        <w:rPr>
          <w:rFonts w:ascii="標楷體" w:eastAsia="標楷體" w:hAnsi="標楷體"/>
          <w:sz w:val="28"/>
          <w:szCs w:val="28"/>
        </w:rPr>
        <w:t>本市</w:t>
      </w:r>
      <w:r>
        <w:rPr>
          <w:rFonts w:ascii="標楷體" w:eastAsia="標楷體" w:hAnsi="標楷體" w:cs="細明體"/>
          <w:color w:val="333333"/>
          <w:kern w:val="0"/>
          <w:sz w:val="28"/>
          <w:szCs w:val="28"/>
        </w:rPr>
        <w:t>曝險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涉毒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 w:cs="細明體"/>
          <w:color w:val="333333"/>
          <w:kern w:val="0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高關懷少年。</w:t>
      </w:r>
    </w:p>
    <w:p w:rsidR="00A8274C" w:rsidRDefault="00591EA0">
      <w:pPr>
        <w:widowControl/>
        <w:spacing w:line="520" w:lineRule="exact"/>
      </w:pPr>
      <w:r>
        <w:rPr>
          <w:rFonts w:eastAsia="標楷體"/>
          <w:bCs/>
          <w:sz w:val="28"/>
          <w:szCs w:val="28"/>
        </w:rPr>
        <w:t>參</w:t>
      </w:r>
      <w:r>
        <w:rPr>
          <w:rFonts w:ascii="標楷體" w:eastAsia="標楷體" w:hAnsi="標楷體"/>
          <w:bCs/>
          <w:sz w:val="28"/>
          <w:szCs w:val="28"/>
        </w:rPr>
        <w:t>、實施期程：</w:t>
      </w:r>
      <w:r>
        <w:rPr>
          <w:rFonts w:ascii="Times New Roman" w:eastAsia="標楷體" w:hAnsi="Times New Roman"/>
          <w:sz w:val="28"/>
          <w:szCs w:val="28"/>
        </w:rPr>
        <w:t>自</w:t>
      </w:r>
      <w:r>
        <w:rPr>
          <w:rFonts w:ascii="Times New Roman" w:eastAsia="標楷體" w:hAnsi="Times New Roman"/>
          <w:sz w:val="28"/>
          <w:szCs w:val="28"/>
        </w:rPr>
        <w:t>110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日起至</w:t>
      </w:r>
      <w:r>
        <w:rPr>
          <w:rFonts w:ascii="Times New Roman" w:eastAsia="標楷體" w:hAnsi="Times New Roman"/>
          <w:sz w:val="28"/>
          <w:szCs w:val="28"/>
        </w:rPr>
        <w:t>110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31</w:t>
      </w:r>
      <w:r>
        <w:rPr>
          <w:rFonts w:ascii="Times New Roman" w:eastAsia="標楷體" w:hAnsi="Times New Roman"/>
          <w:sz w:val="28"/>
          <w:szCs w:val="28"/>
        </w:rPr>
        <w:t>日止。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A8274C" w:rsidRDefault="00591EA0">
      <w:pPr>
        <w:widowControl/>
        <w:spacing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肆、申請方式</w:t>
      </w:r>
      <w:r>
        <w:rPr>
          <w:rFonts w:ascii="標楷體" w:eastAsia="標楷體" w:hAnsi="標楷體"/>
          <w:bCs/>
          <w:sz w:val="28"/>
          <w:szCs w:val="28"/>
        </w:rPr>
        <w:t>\</w:t>
      </w:r>
      <w:r>
        <w:rPr>
          <w:rFonts w:ascii="標楷體" w:eastAsia="標楷體" w:hAnsi="標楷體"/>
          <w:bCs/>
          <w:sz w:val="28"/>
          <w:szCs w:val="28"/>
        </w:rPr>
        <w:t>其他注意事項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各申請單位須填報、</w:t>
      </w:r>
      <w:r>
        <w:rPr>
          <w:rFonts w:ascii="標楷體" w:eastAsia="標楷體" w:hAnsi="標楷體"/>
          <w:sz w:val="28"/>
          <w:szCs w:val="28"/>
        </w:rPr>
        <w:t>檢附附件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〜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資料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逕送少年警察隊辦理：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/>
          <w:bCs/>
          <w:sz w:val="28"/>
          <w:szCs w:val="28"/>
        </w:rPr>
        <w:t>、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  <w:t>經費</w:t>
      </w:r>
      <w:r>
        <w:rPr>
          <w:rFonts w:ascii="標楷體" w:eastAsia="標楷體" w:hAnsi="標楷體"/>
          <w:b/>
          <w:sz w:val="28"/>
          <w:szCs w:val="28"/>
          <w:u w:val="single"/>
        </w:rPr>
        <w:t>申請表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</w:rPr>
        <w:t>含個案全家</w:t>
      </w:r>
      <w:r>
        <w:rPr>
          <w:rFonts w:ascii="標楷體" w:eastAsia="標楷體" w:hAnsi="標楷體"/>
          <w:b/>
          <w:sz w:val="28"/>
          <w:szCs w:val="28"/>
          <w:u w:val="single"/>
        </w:rPr>
        <w:t>戶口名簿影本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份（附件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  <w:u w:val="single"/>
        </w:rPr>
        <w:t>個案輔導紀錄</w:t>
      </w:r>
      <w:r>
        <w:rPr>
          <w:rFonts w:ascii="標楷體" w:eastAsia="標楷體" w:hAnsi="標楷體"/>
          <w:sz w:val="28"/>
          <w:szCs w:val="28"/>
        </w:rPr>
        <w:t>（附件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bCs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依</w:t>
      </w:r>
      <w:r>
        <w:rPr>
          <w:rFonts w:ascii="標楷體" w:eastAsia="標楷體" w:hAnsi="標楷體"/>
          <w:bCs/>
          <w:sz w:val="28"/>
          <w:szCs w:val="28"/>
        </w:rPr>
        <w:t>急難金申請</w:t>
      </w:r>
      <w:r>
        <w:rPr>
          <w:rFonts w:ascii="Times New Roman" w:eastAsia="標楷體" w:hAnsi="Times New Roman"/>
          <w:sz w:val="28"/>
          <w:szCs w:val="28"/>
        </w:rPr>
        <w:t>給付方式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附件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各項目所載檢附之資料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如學校出缺勤</w:t>
      </w:r>
    </w:p>
    <w:p w:rsidR="00A8274C" w:rsidRDefault="00591EA0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紀錄、學、雜費繳費單或收據、租賃契約等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四、獲補助個案須另檢附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領款收據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如附件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受款人之銀行或郵局帳戶</w:t>
      </w:r>
    </w:p>
    <w:p w:rsidR="00A8274C" w:rsidRDefault="00591EA0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影本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非個案或親屬之受款人須載明身分證字號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五、補助個案受款人提供銀行帳戶者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每次須扣匯費新臺幣</w:t>
      </w:r>
      <w:r>
        <w:rPr>
          <w:rFonts w:ascii="Times New Roman" w:eastAsia="標楷體" w:hAnsi="Times New Roman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六、急難金之申請</w:t>
      </w:r>
      <w:r>
        <w:rPr>
          <w:rFonts w:ascii="標楷體" w:eastAsia="標楷體" w:hAnsi="標楷體"/>
          <w:sz w:val="28"/>
          <w:szCs w:val="28"/>
        </w:rPr>
        <w:t>以能解決、減輕個案困境、提升學習意願及興致，使能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回歸正常生活與學習為原則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得視個案狀況溯</w:t>
      </w:r>
      <w:r>
        <w:rPr>
          <w:rFonts w:ascii="Times New Roman" w:eastAsia="標楷體" w:hAnsi="Times New Roman"/>
          <w:sz w:val="28"/>
          <w:szCs w:val="28"/>
        </w:rPr>
        <w:t>自</w:t>
      </w:r>
      <w:r>
        <w:rPr>
          <w:rFonts w:ascii="Times New Roman" w:eastAsia="標楷體" w:hAnsi="Times New Roman"/>
          <w:sz w:val="28"/>
          <w:szCs w:val="28"/>
        </w:rPr>
        <w:t>110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日起補助。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、為落實受益申請個案，</w:t>
      </w:r>
      <w:r>
        <w:rPr>
          <w:rFonts w:ascii="標楷體" w:eastAsia="標楷體" w:hAnsi="標楷體"/>
          <w:bCs/>
          <w:sz w:val="28"/>
          <w:szCs w:val="28"/>
        </w:rPr>
        <w:t>急難金之核發</w:t>
      </w:r>
      <w:r>
        <w:rPr>
          <w:rFonts w:ascii="標楷體" w:eastAsia="標楷體" w:hAnsi="標楷體"/>
          <w:sz w:val="28"/>
          <w:szCs w:val="28"/>
        </w:rPr>
        <w:t>得視個案狀況採現金交付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主責</w:t>
      </w:r>
    </w:p>
    <w:p w:rsidR="00A8274C" w:rsidRDefault="00591EA0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社工、輔導教師、扶助機構或實際照護、服務個案之人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，或撥付個案</w:t>
      </w:r>
    </w:p>
    <w:p w:rsidR="00A8274C" w:rsidRDefault="00591EA0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指實際教養個案之父母、監護人或隔代教養之祖父母、外祖父母或</w:t>
      </w:r>
    </w:p>
    <w:p w:rsidR="00A8274C" w:rsidRDefault="00591EA0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親屬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存戶。</w:t>
      </w:r>
    </w:p>
    <w:p w:rsidR="00A8274C" w:rsidRDefault="00591EA0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八、本項經費以不重複申請為原則，但相關補助金額仍無法解決或減輕個案</w:t>
      </w:r>
    </w:p>
    <w:p w:rsidR="00A8274C" w:rsidRDefault="00591EA0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困境時，得依實際需要提報少輔會議審查核定。</w:t>
      </w:r>
    </w:p>
    <w:p w:rsidR="00A8274C" w:rsidRDefault="00591EA0">
      <w:pPr>
        <w:tabs>
          <w:tab w:val="left" w:pos="1134"/>
        </w:tabs>
        <w:spacing w:line="5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九、各項申</w:t>
      </w:r>
      <w:r>
        <w:rPr>
          <w:rFonts w:ascii="Times New Roman" w:eastAsia="標楷體" w:hAnsi="Times New Roman"/>
          <w:sz w:val="28"/>
          <w:szCs w:val="28"/>
        </w:rPr>
        <w:t>請須於</w:t>
      </w:r>
      <w:r>
        <w:rPr>
          <w:rFonts w:ascii="Times New Roman" w:eastAsia="標楷體" w:hAnsi="Times New Roman"/>
          <w:sz w:val="28"/>
          <w:szCs w:val="28"/>
        </w:rPr>
        <w:t>110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11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日前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配合年度結算作業提出</w:t>
      </w:r>
      <w:r>
        <w:rPr>
          <w:rFonts w:ascii="標楷體" w:eastAsia="標楷體" w:hAnsi="標楷體"/>
          <w:sz w:val="28"/>
          <w:szCs w:val="28"/>
        </w:rPr>
        <w:t>。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十、每申請案須先知會少輔會計畫執行人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黃幹事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電話</w:t>
      </w:r>
      <w:r>
        <w:rPr>
          <w:rFonts w:ascii="Times New Roman" w:eastAsia="標楷體" w:hAnsi="Times New Roman"/>
          <w:sz w:val="28"/>
          <w:szCs w:val="28"/>
        </w:rPr>
        <w:t>632-2210</w:t>
      </w:r>
      <w:r>
        <w:rPr>
          <w:rFonts w:ascii="Times New Roman" w:eastAsia="標楷體" w:hAnsi="Times New Roman"/>
          <w:sz w:val="28"/>
          <w:szCs w:val="28"/>
        </w:rPr>
        <w:t>轉</w:t>
      </w:r>
      <w:r>
        <w:rPr>
          <w:rFonts w:ascii="Times New Roman" w:eastAsia="標楷體" w:hAnsi="Times New Roman"/>
          <w:sz w:val="28"/>
          <w:szCs w:val="28"/>
        </w:rPr>
        <w:t>3036</w:t>
      </w:r>
      <w:r>
        <w:rPr>
          <w:rFonts w:ascii="標楷體" w:eastAsia="標楷體" w:hAnsi="標楷體"/>
          <w:sz w:val="28"/>
          <w:szCs w:val="28"/>
        </w:rPr>
        <w:t>、</w:t>
      </w:r>
    </w:p>
    <w:p w:rsidR="00A8274C" w:rsidRDefault="00591EA0">
      <w:pPr>
        <w:widowControl/>
        <w:spacing w:line="520" w:lineRule="exact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</w:t>
      </w:r>
      <w:r>
        <w:rPr>
          <w:rFonts w:ascii="Times New Roman" w:eastAsia="標楷體" w:hAnsi="Times New Roman"/>
          <w:sz w:val="28"/>
          <w:szCs w:val="28"/>
        </w:rPr>
        <w:t>電子信箱</w:t>
      </w:r>
      <w:r>
        <w:rPr>
          <w:rFonts w:ascii="Times New Roman" w:eastAsia="標楷體" w:hAnsi="Times New Roman"/>
          <w:sz w:val="28"/>
          <w:szCs w:val="28"/>
        </w:rPr>
        <w:t>uo9880@mail.tainan.gov.tw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A8274C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A0" w:rsidRDefault="00591EA0">
      <w:r>
        <w:separator/>
      </w:r>
    </w:p>
  </w:endnote>
  <w:endnote w:type="continuationSeparator" w:id="0">
    <w:p w:rsidR="00591EA0" w:rsidRDefault="0059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C3" w:rsidRDefault="00591EA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F05C3" w:rsidRDefault="00591EA0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4F05C3" w:rsidRDefault="00591EA0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A0" w:rsidRDefault="00591EA0">
      <w:r>
        <w:rPr>
          <w:color w:val="000000"/>
        </w:rPr>
        <w:separator/>
      </w:r>
    </w:p>
  </w:footnote>
  <w:footnote w:type="continuationSeparator" w:id="0">
    <w:p w:rsidR="00591EA0" w:rsidRDefault="0059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2106"/>
    <w:multiLevelType w:val="multilevel"/>
    <w:tmpl w:val="3A789F82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Letter"/>
      <w:pStyle w:val="2"/>
      <w:lvlText w:val="%2."/>
      <w:lvlJc w:val="left"/>
      <w:pPr>
        <w:ind w:left="360" w:hanging="720"/>
      </w:pPr>
      <w:rPr>
        <w:rFonts w:cs="Times New Roman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274C"/>
    <w:rsid w:val="00591EA0"/>
    <w:rsid w:val="00A8274C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A0963-F7BD-469B-9937-EAE8FC6A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10"/>
    <w:next w:val="a"/>
    <w:uiPriority w:val="9"/>
    <w:semiHidden/>
    <w:unhideWhenUsed/>
    <w:qFormat/>
    <w:pPr>
      <w:widowControl/>
      <w:numPr>
        <w:ilvl w:val="1"/>
        <w:numId w:val="1"/>
      </w:numPr>
      <w:snapToGrid w:val="0"/>
      <w:jc w:val="left"/>
      <w:outlineLvl w:val="1"/>
    </w:pPr>
    <w:rPr>
      <w:rFonts w:ascii="微軟正黑體" w:hAnsi="微軟正黑體" w:cs="Consola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1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HTML0">
    <w:name w:val="HTML Cite"/>
    <w:rPr>
      <w:i w:val="0"/>
      <w:iCs w:val="0"/>
      <w:color w:val="006621"/>
    </w:rPr>
  </w:style>
  <w:style w:type="character" w:styleId="a3">
    <w:name w:val="Hyperlink"/>
    <w:rPr>
      <w:color w:val="0000FF"/>
      <w:u w:val="single"/>
    </w:rPr>
  </w:style>
  <w:style w:type="paragraph" w:styleId="20">
    <w:name w:val="Body Text Indent 2"/>
    <w:basedOn w:val="a"/>
    <w:pPr>
      <w:spacing w:after="120" w:line="480" w:lineRule="auto"/>
      <w:ind w:left="480"/>
    </w:pPr>
    <w:rPr>
      <w:szCs w:val="20"/>
    </w:rPr>
  </w:style>
  <w:style w:type="character" w:styleId="a4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character" w:styleId="a5">
    <w:name w:val="Strong"/>
    <w:rPr>
      <w:b/>
      <w:bCs/>
    </w:rPr>
  </w:style>
  <w:style w:type="paragraph" w:styleId="a6">
    <w:name w:val="List Paragraph"/>
    <w:basedOn w:val="a"/>
    <w:pPr>
      <w:ind w:left="480"/>
    </w:p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rPr>
      <w:rFonts w:ascii="Cambria" w:eastAsia="新細明體" w:hAnsi="Cambria"/>
      <w:b/>
      <w:bCs/>
      <w:kern w:val="3"/>
      <w:sz w:val="32"/>
      <w:szCs w:val="32"/>
      <w:lang w:val="en-US" w:eastAsia="zh-TW" w:bidi="ar-SA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本文 字元"/>
    <w:rPr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2">
    <w:name w:val="標題 2 字元"/>
    <w:rPr>
      <w:rFonts w:ascii="微軟正黑體" w:eastAsia="微軟正黑體" w:hAnsi="微軟正黑體" w:cs="Consolas"/>
      <w:kern w:val="3"/>
      <w:sz w:val="36"/>
      <w:szCs w:val="22"/>
    </w:rPr>
  </w:style>
  <w:style w:type="character" w:styleId="ae">
    <w:name w:val="Placeholder Text"/>
    <w:rPr>
      <w:rFonts w:cs="Times New Roman"/>
      <w:color w:val="808080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hAnsi="Cambria"/>
      <w:kern w:val="3"/>
      <w:sz w:val="18"/>
      <w:szCs w:val="18"/>
    </w:rPr>
  </w:style>
  <w:style w:type="character" w:customStyle="1" w:styleId="af1">
    <w:name w:val="頁尾 字元"/>
    <w:rPr>
      <w:rFonts w:ascii="Calibri" w:hAnsi="Calibri"/>
      <w:kern w:val="3"/>
    </w:rPr>
  </w:style>
  <w:style w:type="paragraph" w:customStyle="1" w:styleId="10">
    <w:name w:val="清單段落1"/>
    <w:basedOn w:val="a"/>
    <w:pPr>
      <w:ind w:left="480"/>
      <w:jc w:val="both"/>
    </w:pPr>
    <w:rPr>
      <w:rFonts w:ascii="Arial" w:eastAsia="微軟正黑體" w:hAnsi="Arial"/>
      <w:sz w:val="28"/>
    </w:rPr>
  </w:style>
  <w:style w:type="paragraph" w:styleId="af2">
    <w:name w:val="Salutation"/>
    <w:basedOn w:val="a"/>
    <w:next w:val="a"/>
    <w:rPr>
      <w:rFonts w:ascii="標楷體" w:eastAsia="標楷體" w:hAnsi="標楷體" w:cs="標楷體"/>
      <w:sz w:val="32"/>
      <w:szCs w:val="32"/>
    </w:rPr>
  </w:style>
  <w:style w:type="character" w:customStyle="1" w:styleId="af3">
    <w:name w:val="問候 字元"/>
    <w:rPr>
      <w:rFonts w:ascii="標楷體" w:eastAsia="標楷體" w:hAnsi="標楷體" w:cs="標楷體"/>
      <w:kern w:val="3"/>
      <w:sz w:val="32"/>
      <w:szCs w:val="32"/>
    </w:rPr>
  </w:style>
  <w:style w:type="paragraph" w:styleId="af4">
    <w:name w:val="Closing"/>
    <w:basedOn w:val="a"/>
    <w:pPr>
      <w:ind w:left="100"/>
    </w:pPr>
    <w:rPr>
      <w:rFonts w:ascii="標楷體" w:eastAsia="標楷體" w:hAnsi="標楷體" w:cs="標楷體"/>
      <w:sz w:val="32"/>
      <w:szCs w:val="32"/>
    </w:rPr>
  </w:style>
  <w:style w:type="character" w:customStyle="1" w:styleId="af5">
    <w:name w:val="結語 字元"/>
    <w:rPr>
      <w:rFonts w:ascii="標楷體" w:eastAsia="標楷體" w:hAnsi="標楷體" w:cs="標楷體"/>
      <w:kern w:val="3"/>
      <w:sz w:val="32"/>
      <w:szCs w:val="32"/>
    </w:rPr>
  </w:style>
  <w:style w:type="character" w:styleId="af6">
    <w:name w:val="FollowedHyperlink"/>
    <w:rPr>
      <w:rFonts w:cs="Times New Roman"/>
      <w:color w:val="800080"/>
      <w:u w:val="single"/>
    </w:rPr>
  </w:style>
  <w:style w:type="paragraph" w:customStyle="1" w:styleId="23">
    <w:name w:val="清單段落2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臺南市政府102 年度第2 次兒童及少年福</dc:title>
  <dc:subject/>
  <dc:creator>USER</dc:creator>
  <cp:lastModifiedBy>USER</cp:lastModifiedBy>
  <cp:revision>2</cp:revision>
  <cp:lastPrinted>2020-01-14T08:05:00Z</cp:lastPrinted>
  <dcterms:created xsi:type="dcterms:W3CDTF">2021-02-23T03:46:00Z</dcterms:created>
  <dcterms:modified xsi:type="dcterms:W3CDTF">2021-02-23T03:46:00Z</dcterms:modified>
</cp:coreProperties>
</file>