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3" w:rsidRDefault="00AD5A35" w:rsidP="006B534F">
      <w:pPr>
        <w:pStyle w:val="a8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修正</w:t>
      </w:r>
      <w:r w:rsidR="000626AF" w:rsidRPr="000626AF">
        <w:rPr>
          <w:rFonts w:ascii="標楷體" w:eastAsia="標楷體" w:hAnsi="標楷體" w:hint="eastAsia"/>
        </w:rPr>
        <w:t>行政院與所屬中央及地方各機關公務人員休假改進措施</w:t>
      </w:r>
      <w:r w:rsidR="00000D15">
        <w:rPr>
          <w:rFonts w:ascii="標楷體" w:eastAsia="標楷體" w:hAnsi="標楷體" w:hint="eastAsia"/>
        </w:rPr>
        <w:t>第三點、</w:t>
      </w:r>
      <w:r w:rsidR="00901C96">
        <w:rPr>
          <w:rFonts w:ascii="標楷體" w:eastAsia="標楷體" w:hAnsi="標楷體" w:hint="eastAsia"/>
        </w:rPr>
        <w:t>第</w:t>
      </w:r>
      <w:r w:rsidR="006B534F">
        <w:rPr>
          <w:rFonts w:ascii="標楷體" w:eastAsia="標楷體" w:hAnsi="標楷體" w:hint="eastAsia"/>
        </w:rPr>
        <w:t>五</w:t>
      </w:r>
      <w:r w:rsidR="00901C96">
        <w:rPr>
          <w:rFonts w:ascii="標楷體" w:eastAsia="標楷體" w:hAnsi="標楷體" w:hint="eastAsia"/>
        </w:rPr>
        <w:t>點</w:t>
      </w:r>
    </w:p>
    <w:p w:rsidR="00D17835" w:rsidRPr="00462999" w:rsidRDefault="00D17835" w:rsidP="00FE5A3A">
      <w:pPr>
        <w:pStyle w:val="a8"/>
        <w:wordWrap w:val="0"/>
        <w:spacing w:line="400" w:lineRule="exact"/>
        <w:jc w:val="right"/>
        <w:rPr>
          <w:rFonts w:ascii="標楷體" w:eastAsia="標楷體" w:hAnsi="標楷體"/>
          <w:sz w:val="20"/>
        </w:rPr>
      </w:pPr>
      <w:r w:rsidRPr="00462999">
        <w:rPr>
          <w:rFonts w:ascii="標楷體" w:eastAsia="標楷體" w:hAnsi="標楷體" w:hint="eastAsia"/>
          <w:sz w:val="20"/>
        </w:rPr>
        <w:t>行政院10</w:t>
      </w:r>
      <w:r w:rsidR="00C46813">
        <w:rPr>
          <w:rFonts w:ascii="標楷體" w:eastAsia="標楷體" w:hAnsi="標楷體" w:hint="eastAsia"/>
          <w:sz w:val="20"/>
        </w:rPr>
        <w:t>5</w:t>
      </w:r>
      <w:r w:rsidRPr="00462999">
        <w:rPr>
          <w:rFonts w:ascii="標楷體" w:eastAsia="標楷體" w:hAnsi="標楷體" w:hint="eastAsia"/>
          <w:sz w:val="20"/>
        </w:rPr>
        <w:t>年</w:t>
      </w:r>
      <w:r w:rsidR="00C46813">
        <w:rPr>
          <w:rFonts w:ascii="標楷體" w:eastAsia="標楷體" w:hAnsi="標楷體" w:hint="eastAsia"/>
          <w:sz w:val="20"/>
        </w:rPr>
        <w:t>12</w:t>
      </w:r>
      <w:r w:rsidRPr="00462999">
        <w:rPr>
          <w:rFonts w:ascii="標楷體" w:eastAsia="標楷體" w:hAnsi="標楷體" w:hint="eastAsia"/>
          <w:sz w:val="20"/>
        </w:rPr>
        <w:t>月</w:t>
      </w:r>
      <w:r w:rsidR="00C46813">
        <w:rPr>
          <w:rFonts w:ascii="標楷體" w:eastAsia="標楷體" w:hAnsi="標楷體" w:hint="eastAsia"/>
          <w:sz w:val="20"/>
        </w:rPr>
        <w:t>29</w:t>
      </w:r>
      <w:r w:rsidR="00172C6A" w:rsidRPr="00462999">
        <w:rPr>
          <w:rFonts w:ascii="標楷體" w:eastAsia="標楷體" w:hAnsi="標楷體" w:hint="eastAsia"/>
          <w:sz w:val="20"/>
        </w:rPr>
        <w:t>日</w:t>
      </w:r>
      <w:proofErr w:type="gramStart"/>
      <w:r w:rsidR="00C46813" w:rsidRPr="00C46813">
        <w:rPr>
          <w:rFonts w:ascii="標楷體" w:eastAsia="標楷體" w:hAnsi="標楷體" w:hint="eastAsia"/>
          <w:sz w:val="20"/>
        </w:rPr>
        <w:t>院授人培字</w:t>
      </w:r>
      <w:proofErr w:type="gramEnd"/>
      <w:r w:rsidR="00C46813" w:rsidRPr="00C46813">
        <w:rPr>
          <w:rFonts w:ascii="標楷體" w:eastAsia="標楷體" w:hAnsi="標楷體" w:hint="eastAsia"/>
          <w:sz w:val="20"/>
        </w:rPr>
        <w:t>第1050063738號</w:t>
      </w:r>
      <w:r w:rsidRPr="00462999">
        <w:rPr>
          <w:rFonts w:ascii="標楷體" w:eastAsia="標楷體" w:hAnsi="標楷體" w:hint="eastAsia"/>
          <w:sz w:val="20"/>
        </w:rPr>
        <w:t>函修正</w:t>
      </w:r>
    </w:p>
    <w:p w:rsidR="00586385" w:rsidRDefault="00586385" w:rsidP="00586385">
      <w:pPr>
        <w:snapToGrid w:val="0"/>
        <w:spacing w:line="46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291016" w:rsidRPr="00291016">
        <w:rPr>
          <w:rFonts w:ascii="標楷體" w:eastAsia="標楷體" w:hAnsi="標楷體" w:cs="新細明體" w:hint="eastAsia"/>
          <w:kern w:val="0"/>
          <w:sz w:val="28"/>
          <w:szCs w:val="28"/>
        </w:rPr>
        <w:t>各機關</w:t>
      </w:r>
      <w:proofErr w:type="gramStart"/>
      <w:r w:rsidR="00291016" w:rsidRPr="00291016">
        <w:rPr>
          <w:rFonts w:ascii="標楷體" w:eastAsia="標楷體" w:hAnsi="標楷體" w:cs="新細明體" w:hint="eastAsia"/>
          <w:kern w:val="0"/>
          <w:sz w:val="28"/>
          <w:szCs w:val="28"/>
        </w:rPr>
        <w:t>如有確因</w:t>
      </w:r>
      <w:proofErr w:type="gramEnd"/>
      <w:r w:rsidR="00291016" w:rsidRPr="00291016">
        <w:rPr>
          <w:rFonts w:ascii="標楷體" w:eastAsia="標楷體" w:hAnsi="標楷體" w:cs="新細明體" w:hint="eastAsia"/>
          <w:kern w:val="0"/>
          <w:sz w:val="28"/>
          <w:szCs w:val="28"/>
        </w:rPr>
        <w:t>特殊情形未能照改進措施實施者，應列舉具體事由並擬訂可行措施報請主管機關核定後實施；其非屬個案性質者，並由主管機關報請行政院備查。</w:t>
      </w:r>
    </w:p>
    <w:p w:rsidR="00337B21" w:rsidRDefault="0024638C" w:rsidP="00291016">
      <w:pPr>
        <w:snapToGrid w:val="0"/>
        <w:spacing w:line="46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91016" w:rsidRPr="00291016">
        <w:rPr>
          <w:rFonts w:ascii="標楷體" w:eastAsia="標楷體" w:hAnsi="標楷體" w:cs="新細明體" w:hint="eastAsia"/>
          <w:kern w:val="0"/>
          <w:sz w:val="28"/>
          <w:szCs w:val="28"/>
        </w:rPr>
        <w:t>前項所稱主管機關，指各部、會、行、總處、署、院、及省、直轄市、縣（市）政府。</w:t>
      </w:r>
    </w:p>
    <w:p w:rsidR="00586385" w:rsidRPr="00586385" w:rsidRDefault="00586385" w:rsidP="00586385">
      <w:pPr>
        <w:snapToGrid w:val="0"/>
        <w:spacing w:line="46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150967" w:rsidRPr="00150967">
        <w:rPr>
          <w:rFonts w:ascii="標楷體" w:eastAsia="標楷體" w:hAnsi="標楷體" w:cs="新細明體" w:hint="eastAsia"/>
          <w:kern w:val="0"/>
          <w:sz w:val="28"/>
          <w:szCs w:val="28"/>
        </w:rPr>
        <w:t>為鼓勵公務人員利用休假從事正當休閒旅遊及藝文活動，振興觀光旅遊產業，各機關對於所屬公務人員請國內休假者，應按下列方式核發休假補助費；所需費用，於各機關預算之人事費等相關經費項下勻支</w:t>
      </w:r>
      <w:r w:rsidR="00150967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586385" w:rsidRPr="00586385" w:rsidRDefault="00586385" w:rsidP="00586385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休畢日數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（十四日以內）之休假部分：</w:t>
      </w:r>
    </w:p>
    <w:p w:rsidR="00586385" w:rsidRPr="00586385" w:rsidRDefault="00586385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公務人員每人全年合計補助總額最高以新臺幣一萬六千元為限。但未具休假十四日資格者，其全年最高補助總額按所具休假日數，以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每日新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臺幣一千一百四十三元計算。</w:t>
      </w:r>
    </w:p>
    <w:p w:rsidR="00586385" w:rsidRPr="00586385" w:rsidRDefault="00586385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前目補助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總額分為自行運用額度及</w:t>
      </w:r>
      <w:r w:rsidR="0046289A">
        <w:rPr>
          <w:rFonts w:ascii="標楷體" w:eastAsia="標楷體" w:hAnsi="標楷體" w:cs="新細明體" w:hint="eastAsia"/>
          <w:kern w:val="0"/>
          <w:sz w:val="28"/>
          <w:szCs w:val="28"/>
        </w:rPr>
        <w:t>觀光旅遊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額度，其補助方式如下：</w:t>
      </w:r>
    </w:p>
    <w:p w:rsidR="00586385" w:rsidRPr="00586385" w:rsidRDefault="00586385" w:rsidP="00586385">
      <w:pPr>
        <w:pStyle w:val="ab"/>
        <w:snapToGrid w:val="0"/>
        <w:spacing w:line="460" w:lineRule="exact"/>
        <w:ind w:leftChars="300" w:left="114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自行運用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額度：公務人員應於休假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持國民旅遊卡至交通部觀光局（以下簡稱觀光局）審核通過之各行業別國民旅遊卡特約商店（業別及細項分類如附表）刷卡消費，始得按刷卡消費金額予以核實補助。</w:t>
      </w:r>
    </w:p>
    <w:p w:rsidR="00586385" w:rsidRPr="00586385" w:rsidRDefault="00586385" w:rsidP="00586385">
      <w:pPr>
        <w:pStyle w:val="ab"/>
        <w:snapToGrid w:val="0"/>
        <w:spacing w:line="460" w:lineRule="exact"/>
        <w:ind w:leftChars="300" w:left="1140" w:hangingChars="150" w:hanging="4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="0046289A"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觀光旅遊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額度：公務人員應於休假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持國民旅遊卡至觀光局審核通過之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旅行業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國民旅遊卡特約商店刷卡消費</w:t>
      </w:r>
      <w:r w:rsidR="0046289A"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觀光旅遊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商品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，始得按刷卡消費金額予以核實補助。</w:t>
      </w:r>
    </w:p>
    <w:p w:rsidR="00586385" w:rsidRPr="00586385" w:rsidRDefault="00586385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公務人員當年所具休假資格在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七日以下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者，其補助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總額均屬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自行</w:t>
      </w:r>
      <w:proofErr w:type="gramEnd"/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運用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額度。</w:t>
      </w:r>
    </w:p>
    <w:p w:rsidR="00586385" w:rsidRPr="00586385" w:rsidRDefault="005E3B40" w:rsidP="005E3B40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公務人員當年所具休假資格逾七日者，補助總額中新臺幣八千元之額度屬</w:t>
      </w:r>
      <w:r w:rsidR="0046289A">
        <w:rPr>
          <w:rFonts w:ascii="標楷體" w:eastAsia="標楷體" w:hAnsi="標楷體" w:cs="新細明體" w:hint="eastAsia"/>
          <w:kern w:val="0"/>
          <w:sz w:val="28"/>
          <w:szCs w:val="28"/>
        </w:rPr>
        <w:t>觀光旅遊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額度；</w:t>
      </w:r>
      <w:r w:rsidR="0046289A">
        <w:rPr>
          <w:rFonts w:ascii="標楷體" w:eastAsia="標楷體" w:hAnsi="標楷體" w:cs="新細明體" w:hint="eastAsia"/>
          <w:kern w:val="0"/>
          <w:sz w:val="28"/>
          <w:szCs w:val="28"/>
        </w:rPr>
        <w:t>觀光旅遊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額度以外之補助額度屬自行運用額度。</w:t>
      </w:r>
    </w:p>
    <w:p w:rsidR="00586385" w:rsidRPr="00586385" w:rsidRDefault="005E3B40" w:rsidP="005E3B40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公務人員因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身心障礙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懷孕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重大傷病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，於當年確實無法參加</w:t>
      </w:r>
      <w:r w:rsidR="0046289A">
        <w:rPr>
          <w:rFonts w:ascii="標楷體" w:eastAsia="標楷體" w:hAnsi="標楷體" w:cs="新細明體" w:hint="eastAsia"/>
          <w:kern w:val="0"/>
          <w:sz w:val="28"/>
          <w:szCs w:val="28"/>
        </w:rPr>
        <w:t>觀光旅遊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，經服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務機關認定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者，當年補助</w:t>
      </w:r>
      <w:proofErr w:type="gramStart"/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總額均屬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自行</w:t>
      </w:r>
      <w:proofErr w:type="gramEnd"/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運用</w:t>
      </w:r>
      <w:r w:rsidRPr="005E3B40">
        <w:rPr>
          <w:rFonts w:ascii="標楷體" w:eastAsia="標楷體" w:hAnsi="標楷體" w:cs="新細明體" w:hint="eastAsia"/>
          <w:kern w:val="0"/>
          <w:sz w:val="28"/>
          <w:szCs w:val="28"/>
        </w:rPr>
        <w:t>額度。</w:t>
      </w:r>
    </w:p>
    <w:p w:rsidR="00586385" w:rsidRPr="00586385" w:rsidRDefault="00586385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休假期間及其相連假日之連續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於旅行業、旅宿業、觀光遊樂業刷卡消費者，其與該休假期間相連之假日於各國民旅遊卡特約商店刷卡之消費，得核實併入自行運用額度之補助範圍。</w:t>
      </w:r>
    </w:p>
    <w:p w:rsidR="00586385" w:rsidRPr="00586385" w:rsidRDefault="00586385" w:rsidP="00586385">
      <w:pPr>
        <w:numPr>
          <w:ilvl w:val="1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符合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第二目請領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休假補助者，其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休假期間前後一日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於國民旅遊卡特約商店刷卡消費之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交通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費用，得核實</w:t>
      </w:r>
      <w:r w:rsidRPr="008663D7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併入自行運用</w:t>
      </w: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額度之補助範圍。</w:t>
      </w:r>
    </w:p>
    <w:p w:rsidR="00B44BE8" w:rsidRPr="00172C6A" w:rsidRDefault="00586385" w:rsidP="00586385">
      <w:pPr>
        <w:numPr>
          <w:ilvl w:val="0"/>
          <w:numId w:val="2"/>
        </w:numPr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proofErr w:type="gramStart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休畢日數</w:t>
      </w:r>
      <w:proofErr w:type="gramEnd"/>
      <w:r w:rsidRPr="00586385">
        <w:rPr>
          <w:rFonts w:ascii="標楷體" w:eastAsia="標楷體" w:hAnsi="標楷體" w:cs="新細明體" w:hint="eastAsia"/>
          <w:kern w:val="0"/>
          <w:sz w:val="28"/>
          <w:szCs w:val="28"/>
        </w:rPr>
        <w:t>以外之休假部分：按日支給休假補助費新臺幣六百元；未達一日者，按日折半支給，於年終一併結算。</w:t>
      </w:r>
    </w:p>
    <w:p w:rsidR="00B44BE8" w:rsidRPr="006B534F" w:rsidRDefault="00B44BE8" w:rsidP="00B44BE8">
      <w:pPr>
        <w:ind w:left="851"/>
        <w:rPr>
          <w:rFonts w:ascii="標楷體" w:eastAsia="標楷體" w:hAnsi="標楷體" w:cs="新細明體"/>
          <w:kern w:val="0"/>
        </w:rPr>
      </w:pPr>
    </w:p>
    <w:p w:rsidR="00C6605F" w:rsidRPr="000626AF" w:rsidRDefault="00901C96" w:rsidP="00771F33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  <w:r w:rsidR="00C6605F" w:rsidRPr="000626AF">
        <w:rPr>
          <w:rFonts w:ascii="標楷體" w:eastAsia="標楷體" w:hAnsi="標楷體" w:cs="新細明體" w:hint="eastAsia"/>
          <w:kern w:val="0"/>
        </w:rPr>
        <w:lastRenderedPageBreak/>
        <w:t>附表：國民旅遊卡特約商店業別及細項分類表</w:t>
      </w:r>
    </w:p>
    <w:tbl>
      <w:tblPr>
        <w:tblW w:w="90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475"/>
        <w:gridCol w:w="6007"/>
      </w:tblGrid>
      <w:tr w:rsidR="00C6605F" w:rsidRPr="000626AF" w:rsidTr="005274C9">
        <w:trPr>
          <w:jc w:val="center"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605F" w:rsidRPr="000626AF" w:rsidRDefault="00C6605F" w:rsidP="00193F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業  別</w:t>
            </w:r>
          </w:p>
        </w:tc>
        <w:tc>
          <w:tcPr>
            <w:tcW w:w="60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6605F" w:rsidRPr="000626AF" w:rsidRDefault="00C6605F" w:rsidP="00193F9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細項分類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274C9" w:rsidRPr="000626AF" w:rsidRDefault="005274C9" w:rsidP="00193F99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觀光休閒及藝文業別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旅行社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旅宿業、民宿業、郵購(網購)旅館、一般旅館業、觀光旅館業、其他住宿服務業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森林遊樂業、休閒農場(園)、觀光果(茶)園、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生態教育農園、其他觀光遊樂業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藝文圖書業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書店、博物館、美術館、畫廊、藝廊、音樂會、戲劇、舞蹈、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郵購(網購)藝文展演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</w:t>
            </w:r>
          </w:p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新細明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、民用航空運輸業、海洋水運業、一般汽車客運業、計程車、鐵路運輸業、郵購(網購)交通運輸業、其他運輸輔助業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餐飲業、</w:t>
            </w:r>
            <w:proofErr w:type="gramStart"/>
            <w:r w:rsidRPr="000626AF">
              <w:rPr>
                <w:rFonts w:ascii="標楷體" w:eastAsia="標楷體" w:hAnsi="標楷體" w:cs="新細明體" w:hint="eastAsia"/>
                <w:kern w:val="0"/>
              </w:rPr>
              <w:t>飲料店業</w:t>
            </w:r>
            <w:proofErr w:type="gramEnd"/>
            <w:r w:rsidRPr="000626AF">
              <w:rPr>
                <w:rFonts w:ascii="標楷體" w:eastAsia="標楷體" w:hAnsi="標楷體" w:cs="新細明體" w:hint="eastAsia"/>
                <w:kern w:val="0"/>
              </w:rPr>
              <w:t>、餐館業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農特產及手工藝品業、其他</w:t>
            </w:r>
            <w:proofErr w:type="gramStart"/>
            <w:r w:rsidRPr="000626AF">
              <w:rPr>
                <w:rFonts w:ascii="標楷體" w:eastAsia="標楷體" w:hAnsi="標楷體" w:cs="新細明體" w:hint="eastAsia"/>
                <w:kern w:val="0"/>
              </w:rPr>
              <w:t>農畜水產品</w:t>
            </w:r>
            <w:proofErr w:type="gramEnd"/>
            <w:r w:rsidRPr="000626AF">
              <w:rPr>
                <w:rFonts w:ascii="標楷體" w:eastAsia="標楷體" w:hAnsi="標楷體" w:cs="新細明體" w:hint="eastAsia"/>
                <w:kern w:val="0"/>
              </w:rPr>
              <w:t>零售業、其他木製品製造業、其他農事服務業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體育用品業、體育用品器材零售業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自行車專賣店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其他觀光服務業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運動場館、身心障礙者福利服務業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攝影器材及沖洗專賣店</w:t>
            </w:r>
            <w:r w:rsidRPr="00E50FE8">
              <w:rPr>
                <w:rFonts w:ascii="標楷體" w:eastAsia="標楷體" w:hAnsi="標楷體" w:cs="新細明體" w:hint="eastAsia"/>
                <w:kern w:val="0"/>
              </w:rPr>
              <w:t>、未分類其他服務業（輪胎及汽車維修）、未分類其他零售業（MIT微笑協力專賣店）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274C9" w:rsidRPr="000626AF" w:rsidRDefault="005274C9" w:rsidP="00193F99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商圈業別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服飾業、成衣零售業</w:t>
            </w:r>
          </w:p>
        </w:tc>
      </w:tr>
      <w:tr w:rsidR="005274C9" w:rsidRPr="000626AF" w:rsidTr="005274C9">
        <w:trPr>
          <w:cantSplit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皮鞋皮件業、服飾配件零售業</w:t>
            </w:r>
          </w:p>
        </w:tc>
      </w:tr>
      <w:tr w:rsidR="005274C9" w:rsidRPr="000626AF" w:rsidTr="005274C9">
        <w:trPr>
          <w:cantSplit/>
          <w:trHeight w:val="403"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</w:t>
            </w:r>
            <w:proofErr w:type="gramStart"/>
            <w:r w:rsidRPr="000626AF">
              <w:rPr>
                <w:rFonts w:ascii="標楷體" w:eastAsia="標楷體" w:hAnsi="標楷體" w:cs="新細明體" w:hint="eastAsia"/>
                <w:kern w:val="0"/>
              </w:rPr>
              <w:t>護膚業</w:t>
            </w:r>
            <w:proofErr w:type="gramEnd"/>
          </w:p>
        </w:tc>
        <w:tc>
          <w:tcPr>
            <w:tcW w:w="6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</w:t>
            </w:r>
            <w:proofErr w:type="gramStart"/>
            <w:r w:rsidRPr="000626AF">
              <w:rPr>
                <w:rFonts w:ascii="標楷體" w:eastAsia="標楷體" w:hAnsi="標楷體" w:cs="新細明體" w:hint="eastAsia"/>
                <w:kern w:val="0"/>
              </w:rPr>
              <w:t>護膚業</w:t>
            </w:r>
            <w:proofErr w:type="gramEnd"/>
            <w:r w:rsidRPr="000626AF">
              <w:rPr>
                <w:rFonts w:ascii="標楷體" w:eastAsia="標楷體" w:hAnsi="標楷體" w:cs="新細明體" w:hint="eastAsia"/>
                <w:kern w:val="0"/>
              </w:rPr>
              <w:t>、化妝品零售業</w:t>
            </w:r>
          </w:p>
        </w:tc>
      </w:tr>
      <w:tr w:rsidR="005274C9" w:rsidRPr="000626AF" w:rsidTr="005274C9">
        <w:trPr>
          <w:cantSplit/>
          <w:trHeight w:val="980"/>
          <w:jc w:val="center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4C9" w:rsidRPr="000626AF" w:rsidRDefault="005274C9" w:rsidP="00193F9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商圈其他業別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274C9" w:rsidRPr="000626AF" w:rsidRDefault="005274C9" w:rsidP="00617A1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未分類其他個人服務業、其他休閒服務業、其他無店面零售業、未分類其他零售業、其他綜合商品零售業、交通工具租賃業、</w:t>
            </w:r>
            <w:proofErr w:type="gramStart"/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食品什貨零售業</w:t>
            </w:r>
            <w:proofErr w:type="gramEnd"/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、其他</w:t>
            </w:r>
          </w:p>
        </w:tc>
      </w:tr>
    </w:tbl>
    <w:p w:rsidR="00193F99" w:rsidRPr="000626AF" w:rsidRDefault="00193F99" w:rsidP="00C6605F">
      <w:pPr>
        <w:rPr>
          <w:rFonts w:ascii="標楷體" w:eastAsia="標楷體" w:hAnsi="標楷體" w:cs="新細明體"/>
          <w:kern w:val="0"/>
        </w:rPr>
      </w:pPr>
    </w:p>
    <w:p w:rsidR="00C6605F" w:rsidRPr="000626AF" w:rsidRDefault="00C6605F" w:rsidP="00C6605F">
      <w:p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附註：</w:t>
      </w:r>
    </w:p>
    <w:p w:rsidR="00193F99" w:rsidRPr="004625CA" w:rsidRDefault="00AF1FE8" w:rsidP="00AF1FE8">
      <w:pPr>
        <w:numPr>
          <w:ilvl w:val="1"/>
          <w:numId w:val="5"/>
        </w:numPr>
        <w:rPr>
          <w:rFonts w:ascii="標楷體" w:eastAsia="標楷體" w:hAnsi="標楷體" w:cs="新細明體"/>
          <w:kern w:val="0"/>
          <w:highlight w:val="yellow"/>
        </w:rPr>
      </w:pPr>
      <w:bookmarkStart w:id="0" w:name="_GoBack"/>
      <w:bookmarkEnd w:id="0"/>
      <w:r w:rsidRPr="004625CA">
        <w:rPr>
          <w:rFonts w:ascii="標楷體" w:eastAsia="標楷體" w:hAnsi="標楷體" w:cs="新細明體" w:hint="eastAsia"/>
          <w:kern w:val="0"/>
          <w:highlight w:val="yellow"/>
        </w:rPr>
        <w:t>各行業別</w:t>
      </w:r>
      <w:proofErr w:type="gramStart"/>
      <w:r w:rsidRPr="004625CA">
        <w:rPr>
          <w:rFonts w:ascii="標楷體" w:eastAsia="標楷體" w:hAnsi="標楷體" w:cs="新細明體" w:hint="eastAsia"/>
          <w:kern w:val="0"/>
          <w:highlight w:val="yellow"/>
        </w:rPr>
        <w:t>之</w:t>
      </w:r>
      <w:proofErr w:type="gramEnd"/>
      <w:r w:rsidRPr="004625CA">
        <w:rPr>
          <w:rFonts w:ascii="標楷體" w:eastAsia="標楷體" w:hAnsi="標楷體" w:cs="新細明體" w:hint="eastAsia"/>
          <w:kern w:val="0"/>
          <w:highlight w:val="yellow"/>
        </w:rPr>
        <w:t>刷卡消費均核實補助。</w:t>
      </w:r>
    </w:p>
    <w:p w:rsidR="00193F99" w:rsidRPr="000626AF" w:rsidRDefault="00193F99" w:rsidP="00193F99">
      <w:pPr>
        <w:numPr>
          <w:ilvl w:val="1"/>
          <w:numId w:val="5"/>
        </w:num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一般家具、百貨公司、量販店、超級市場、醫院（診所）、藥局等行業。</w:t>
      </w:r>
    </w:p>
    <w:sectPr w:rsidR="00193F99" w:rsidRPr="000626AF" w:rsidSect="00771F33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39" w:rsidRDefault="004A3939" w:rsidP="00DA03B5">
      <w:r>
        <w:separator/>
      </w:r>
    </w:p>
  </w:endnote>
  <w:endnote w:type="continuationSeparator" w:id="0">
    <w:p w:rsidR="004A3939" w:rsidRDefault="004A3939" w:rsidP="00DA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39" w:rsidRDefault="004A3939" w:rsidP="00DA03B5">
      <w:r>
        <w:separator/>
      </w:r>
    </w:p>
  </w:footnote>
  <w:footnote w:type="continuationSeparator" w:id="0">
    <w:p w:rsidR="004A3939" w:rsidRDefault="004A3939" w:rsidP="00DA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02C"/>
    <w:multiLevelType w:val="hybridMultilevel"/>
    <w:tmpl w:val="5BEAA042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17721EB9"/>
    <w:multiLevelType w:val="hybridMultilevel"/>
    <w:tmpl w:val="AAC85B54"/>
    <w:lvl w:ilvl="0" w:tplc="80F479D0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38AE38F3"/>
    <w:multiLevelType w:val="hybridMultilevel"/>
    <w:tmpl w:val="2DEE8548"/>
    <w:lvl w:ilvl="0" w:tplc="B9126EA4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4ECF1D1E"/>
    <w:multiLevelType w:val="hybridMultilevel"/>
    <w:tmpl w:val="4BF2E4D8"/>
    <w:lvl w:ilvl="0" w:tplc="174C028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336970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6AB32FF4"/>
    <w:multiLevelType w:val="hybridMultilevel"/>
    <w:tmpl w:val="D1A2C14E"/>
    <w:lvl w:ilvl="0" w:tplc="6CA68F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E3"/>
    <w:rsid w:val="00000D15"/>
    <w:rsid w:val="000626AF"/>
    <w:rsid w:val="000832B8"/>
    <w:rsid w:val="00083442"/>
    <w:rsid w:val="001250DB"/>
    <w:rsid w:val="00150967"/>
    <w:rsid w:val="001615CD"/>
    <w:rsid w:val="00172C6A"/>
    <w:rsid w:val="00193F99"/>
    <w:rsid w:val="002235F2"/>
    <w:rsid w:val="0024638C"/>
    <w:rsid w:val="00291016"/>
    <w:rsid w:val="002A03F8"/>
    <w:rsid w:val="002C006A"/>
    <w:rsid w:val="00337B21"/>
    <w:rsid w:val="003B4F00"/>
    <w:rsid w:val="00421C11"/>
    <w:rsid w:val="004625CA"/>
    <w:rsid w:val="0046289A"/>
    <w:rsid w:val="00462999"/>
    <w:rsid w:val="0047275E"/>
    <w:rsid w:val="004A3939"/>
    <w:rsid w:val="004F6837"/>
    <w:rsid w:val="005274C9"/>
    <w:rsid w:val="00564BC4"/>
    <w:rsid w:val="00566BFA"/>
    <w:rsid w:val="00586385"/>
    <w:rsid w:val="00594D61"/>
    <w:rsid w:val="005E1B54"/>
    <w:rsid w:val="005E3B40"/>
    <w:rsid w:val="006050F5"/>
    <w:rsid w:val="006B534F"/>
    <w:rsid w:val="006F73BC"/>
    <w:rsid w:val="007674DB"/>
    <w:rsid w:val="00771F33"/>
    <w:rsid w:val="007B47B6"/>
    <w:rsid w:val="007D03E3"/>
    <w:rsid w:val="007F3FBF"/>
    <w:rsid w:val="008663D7"/>
    <w:rsid w:val="008E4875"/>
    <w:rsid w:val="00901C96"/>
    <w:rsid w:val="009120AE"/>
    <w:rsid w:val="00930D5F"/>
    <w:rsid w:val="00951A5C"/>
    <w:rsid w:val="009577AE"/>
    <w:rsid w:val="009763CB"/>
    <w:rsid w:val="00A5530D"/>
    <w:rsid w:val="00A85B2D"/>
    <w:rsid w:val="00AD5A35"/>
    <w:rsid w:val="00AE4D2F"/>
    <w:rsid w:val="00AE5C2B"/>
    <w:rsid w:val="00AF1838"/>
    <w:rsid w:val="00AF1FE8"/>
    <w:rsid w:val="00B44BE8"/>
    <w:rsid w:val="00BE46BA"/>
    <w:rsid w:val="00BF4D0B"/>
    <w:rsid w:val="00C46813"/>
    <w:rsid w:val="00C47C3E"/>
    <w:rsid w:val="00C6605F"/>
    <w:rsid w:val="00C82EF0"/>
    <w:rsid w:val="00CC154C"/>
    <w:rsid w:val="00CC419E"/>
    <w:rsid w:val="00D17835"/>
    <w:rsid w:val="00D35CA8"/>
    <w:rsid w:val="00DA03B5"/>
    <w:rsid w:val="00DB6F1D"/>
    <w:rsid w:val="00EA7C1D"/>
    <w:rsid w:val="00F04BCA"/>
    <w:rsid w:val="00F72C58"/>
    <w:rsid w:val="00FB10C9"/>
    <w:rsid w:val="00FD49DE"/>
    <w:rsid w:val="00FE5A3A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0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03B5"/>
    <w:rPr>
      <w:kern w:val="2"/>
    </w:rPr>
  </w:style>
  <w:style w:type="paragraph" w:styleId="a5">
    <w:name w:val="footer"/>
    <w:basedOn w:val="a"/>
    <w:link w:val="a6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03B5"/>
    <w:rPr>
      <w:kern w:val="2"/>
    </w:rPr>
  </w:style>
  <w:style w:type="paragraph" w:customStyle="1" w:styleId="a7">
    <w:name w:val="函日期"/>
    <w:rsid w:val="000626AF"/>
    <w:pPr>
      <w:tabs>
        <w:tab w:val="left" w:pos="1440"/>
      </w:tabs>
      <w:spacing w:line="200" w:lineRule="exact"/>
      <w:ind w:left="1560" w:right="227" w:hanging="142"/>
      <w:jc w:val="both"/>
    </w:pPr>
    <w:rPr>
      <w:rFonts w:eastAsia="全真中明體"/>
      <w:sz w:val="14"/>
    </w:rPr>
  </w:style>
  <w:style w:type="paragraph" w:customStyle="1" w:styleId="a8">
    <w:name w:val="法規名"/>
    <w:rsid w:val="000626AF"/>
    <w:pPr>
      <w:spacing w:before="120" w:after="120"/>
      <w:jc w:val="center"/>
    </w:pPr>
    <w:rPr>
      <w:rFonts w:ascii="全真粗黑體" w:eastAsia="全真粗黑體"/>
      <w:sz w:val="32"/>
    </w:rPr>
  </w:style>
  <w:style w:type="paragraph" w:styleId="a9">
    <w:name w:val="Balloon Text"/>
    <w:basedOn w:val="a"/>
    <w:link w:val="aa"/>
    <w:rsid w:val="008E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E48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863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D03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03B5"/>
    <w:rPr>
      <w:kern w:val="2"/>
    </w:rPr>
  </w:style>
  <w:style w:type="paragraph" w:styleId="a5">
    <w:name w:val="footer"/>
    <w:basedOn w:val="a"/>
    <w:link w:val="a6"/>
    <w:rsid w:val="00DA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03B5"/>
    <w:rPr>
      <w:kern w:val="2"/>
    </w:rPr>
  </w:style>
  <w:style w:type="paragraph" w:customStyle="1" w:styleId="a7">
    <w:name w:val="函日期"/>
    <w:rsid w:val="000626AF"/>
    <w:pPr>
      <w:tabs>
        <w:tab w:val="left" w:pos="1440"/>
      </w:tabs>
      <w:spacing w:line="200" w:lineRule="exact"/>
      <w:ind w:left="1560" w:right="227" w:hanging="142"/>
      <w:jc w:val="both"/>
    </w:pPr>
    <w:rPr>
      <w:rFonts w:eastAsia="全真中明體"/>
      <w:sz w:val="14"/>
    </w:rPr>
  </w:style>
  <w:style w:type="paragraph" w:customStyle="1" w:styleId="a8">
    <w:name w:val="法規名"/>
    <w:rsid w:val="000626AF"/>
    <w:pPr>
      <w:spacing w:before="120" w:after="120"/>
      <w:jc w:val="center"/>
    </w:pPr>
    <w:rPr>
      <w:rFonts w:ascii="全真粗黑體" w:eastAsia="全真粗黑體"/>
      <w:sz w:val="32"/>
    </w:rPr>
  </w:style>
  <w:style w:type="paragraph" w:styleId="a9">
    <w:name w:val="Balloon Text"/>
    <w:basedOn w:val="a"/>
    <w:link w:val="aa"/>
    <w:rsid w:val="008E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E48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863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行政院與所屬中央及地方各機關公務人員休假改進措施</dc:title>
  <dc:creator>user</dc:creator>
  <cp:lastModifiedBy>DW</cp:lastModifiedBy>
  <cp:revision>4</cp:revision>
  <cp:lastPrinted>2016-12-26T10:56:00Z</cp:lastPrinted>
  <dcterms:created xsi:type="dcterms:W3CDTF">2016-12-30T03:25:00Z</dcterms:created>
  <dcterms:modified xsi:type="dcterms:W3CDTF">2017-01-04T03:33:00Z</dcterms:modified>
</cp:coreProperties>
</file>