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2A704E">
        <w:rPr>
          <w:rFonts w:ascii="標楷體" w:eastAsia="標楷體" w:hAnsi="標楷體"/>
          <w:b/>
          <w:color w:val="000000"/>
          <w:sz w:val="30"/>
          <w:szCs w:val="30"/>
        </w:rPr>
        <w:t>5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年度推動民眾行動上網計畫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活動說明暨報名表</w:t>
      </w:r>
    </w:p>
    <w:p w:rsidR="00B07FF3" w:rsidRPr="003430B4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0" w:name="_Toc176596728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0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1" w:name="_Toc176596168"/>
      <w:bookmarkStart w:id="2" w:name="_Toc176596334"/>
      <w:bookmarkStart w:id="3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1"/>
      <w:bookmarkEnd w:id="2"/>
      <w:bookmarkEnd w:id="3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止</w:t>
      </w:r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本市里關懷中心：(詳如里關懷活動中心電話清單)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  <w:bookmarkStart w:id="4" w:name="_GoBack"/>
      <w:bookmarkEnd w:id="4"/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智慧型手機應用班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智慧型手機基本設施設定與安裝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開始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，學習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實用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APP的下載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及應用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網路商務應用班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Gmail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申請與應用、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無紙化電子發票應用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、介紹網路購物…等其它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手機旅遊應用班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離線電子地圖APP下載與應用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旅遊團員電子地圖定位搜尋APP應用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手機訂房、掛號與購票應用班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醫療常識與醫院門診掛號應用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高鐵、台鐵、電影院、機票等網路購票應用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、新住民…等民眾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20人以上即可自成一班，並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向臺南市推動民眾上網專案辦公室、當地社區資訊服務中心報名開班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2A704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請電洽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臺南市推動民眾上網專案辦公室：06-3365595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亦或前往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5" w:name="_Toc188246890"/>
      <w:bookmarkStart w:id="6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5"/>
      <w:bookmarkEnd w:id="6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7" w:name="_Toc188246891"/>
      <w:bookmarkStart w:id="8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7"/>
      <w:bookmarkEnd w:id="8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 w:rsidR="002A704E">
        <w:rPr>
          <w:rFonts w:ascii="標楷體" w:eastAsia="標楷體" w:hAnsi="標楷體" w:hint="eastAsia"/>
          <w:color w:val="000000"/>
          <w:sz w:val="20"/>
          <w:szCs w:val="20"/>
        </w:rPr>
        <w:t>：講義</w:t>
      </w:r>
      <w:r>
        <w:rPr>
          <w:rFonts w:ascii="標楷體" w:eastAsia="標楷體" w:hAnsi="標楷體" w:hint="eastAsia"/>
          <w:color w:val="000000"/>
          <w:sz w:val="20"/>
          <w:szCs w:val="20"/>
        </w:rPr>
        <w:t>乙本。</w:t>
      </w:r>
    </w:p>
    <w:sectPr w:rsidR="00C96872" w:rsidSect="008F304D">
      <w:footerReference w:type="even" r:id="rId9"/>
      <w:type w:val="continuous"/>
      <w:pgSz w:w="11906" w:h="16838"/>
      <w:pgMar w:top="993" w:right="926" w:bottom="426" w:left="900" w:header="540" w:footer="7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6E" w:rsidRDefault="0076636E">
      <w:r>
        <w:separator/>
      </w:r>
    </w:p>
  </w:endnote>
  <w:endnote w:type="continuationSeparator" w:id="0">
    <w:p w:rsidR="0076636E" w:rsidRDefault="0076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6E" w:rsidRDefault="0076636E">
      <w:r>
        <w:separator/>
      </w:r>
    </w:p>
  </w:footnote>
  <w:footnote w:type="continuationSeparator" w:id="0">
    <w:p w:rsidR="0076636E" w:rsidRDefault="0076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E"/>
    <w:rsid w:val="000021D7"/>
    <w:rsid w:val="00006759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35C1F"/>
    <w:rsid w:val="00247C4B"/>
    <w:rsid w:val="002867BA"/>
    <w:rsid w:val="002908B4"/>
    <w:rsid w:val="00293E7A"/>
    <w:rsid w:val="00295266"/>
    <w:rsid w:val="002A6D40"/>
    <w:rsid w:val="002A704E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0B4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659C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36E"/>
    <w:rsid w:val="007668CE"/>
    <w:rsid w:val="00773F86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542B"/>
    <w:rsid w:val="00885C75"/>
    <w:rsid w:val="00892649"/>
    <w:rsid w:val="008A04EE"/>
    <w:rsid w:val="008A27B1"/>
    <w:rsid w:val="008A77DE"/>
    <w:rsid w:val="008B0A84"/>
    <w:rsid w:val="008B21FA"/>
    <w:rsid w:val="008B77F5"/>
    <w:rsid w:val="008C4697"/>
    <w:rsid w:val="008C7740"/>
    <w:rsid w:val="008D0147"/>
    <w:rsid w:val="008D42FC"/>
    <w:rsid w:val="008D7C76"/>
    <w:rsid w:val="008E510D"/>
    <w:rsid w:val="008F304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0677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38E4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49E1-C962-4617-BF69-D49AF49A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Net School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ASUS</cp:lastModifiedBy>
  <cp:revision>2</cp:revision>
  <cp:lastPrinted>2014-05-29T03:07:00Z</cp:lastPrinted>
  <dcterms:created xsi:type="dcterms:W3CDTF">2016-05-19T05:01:00Z</dcterms:created>
  <dcterms:modified xsi:type="dcterms:W3CDTF">2016-05-19T05:01:00Z</dcterms:modified>
</cp:coreProperties>
</file>