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61" w:rsidRDefault="00F00161" w:rsidP="00F0016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F00161" w:rsidRPr="002F6BB9" w:rsidRDefault="00F00161" w:rsidP="00F0016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F00161" w:rsidRPr="00CF549C" w:rsidRDefault="00F00161" w:rsidP="00F00161">
      <w:pPr>
        <w:widowControl/>
        <w:numPr>
          <w:ilvl w:val="0"/>
          <w:numId w:val="1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為提升社會大眾性別平等意識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以線上有獎徵答</w:t>
      </w:r>
      <w:proofErr w:type="gramEnd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，並鼓勵社會大眾加入性別平等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</w:t>
      </w:r>
      <w:proofErr w:type="gramEnd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專頁，持續培養對性別議題的興趣。</w:t>
      </w:r>
    </w:p>
    <w:p w:rsidR="00F00161" w:rsidRDefault="00F00161" w:rsidP="00F00161">
      <w:pPr>
        <w:widowControl/>
        <w:numPr>
          <w:ilvl w:val="0"/>
          <w:numId w:val="1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  <w:r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F00161" w:rsidRPr="004949B8" w:rsidRDefault="00F00161" w:rsidP="00F00161">
      <w:pPr>
        <w:widowControl/>
        <w:numPr>
          <w:ilvl w:val="0"/>
          <w:numId w:val="1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時止。</w:t>
      </w:r>
    </w:p>
    <w:p w:rsidR="00F00161" w:rsidRPr="00CF549C" w:rsidRDefault="00F00161" w:rsidP="00F00161">
      <w:pPr>
        <w:widowControl/>
        <w:numPr>
          <w:ilvl w:val="0"/>
          <w:numId w:val="1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proofErr w:type="gramStart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網址：</w:t>
      </w:r>
      <w:r w:rsidRPr="00200EF5">
        <w:rPr>
          <w:rStyle w:val="a3"/>
          <w:rFonts w:ascii="Times New Roman" w:eastAsia="標楷體" w:hAnsi="Times New Roman" w:cs="Times New Roman" w:hint="eastAsia"/>
          <w:sz w:val="32"/>
          <w:szCs w:val="32"/>
        </w:rPr>
        <w:t>於</w:t>
      </w:r>
      <w:r w:rsidRPr="00200EF5">
        <w:rPr>
          <w:rStyle w:val="a3"/>
          <w:rFonts w:ascii="Times New Roman" w:eastAsia="標楷體" w:hAnsi="Times New Roman" w:cs="Times New Roman" w:hint="eastAsia"/>
          <w:sz w:val="32"/>
          <w:szCs w:val="32"/>
        </w:rPr>
        <w:t>12</w:t>
      </w:r>
      <w:r w:rsidRPr="00200EF5">
        <w:rPr>
          <w:rStyle w:val="a3"/>
          <w:rFonts w:ascii="Times New Roman" w:eastAsia="標楷體" w:hAnsi="Times New Roman" w:cs="Times New Roman" w:hint="eastAsia"/>
          <w:sz w:val="32"/>
          <w:szCs w:val="32"/>
        </w:rPr>
        <w:t>月</w:t>
      </w:r>
      <w:r w:rsidRPr="00200EF5">
        <w:rPr>
          <w:rStyle w:val="a3"/>
          <w:rFonts w:ascii="Times New Roman" w:eastAsia="標楷體" w:hAnsi="Times New Roman" w:cs="Times New Roman" w:hint="eastAsia"/>
          <w:sz w:val="32"/>
          <w:szCs w:val="32"/>
        </w:rPr>
        <w:t>1</w:t>
      </w:r>
      <w:r w:rsidRPr="00200EF5">
        <w:rPr>
          <w:rStyle w:val="a3"/>
          <w:rFonts w:ascii="Times New Roman" w:eastAsia="標楷體" w:hAnsi="Times New Roman" w:cs="Times New Roman" w:hint="eastAsia"/>
          <w:sz w:val="32"/>
          <w:szCs w:val="32"/>
        </w:rPr>
        <w:t>日於</w:t>
      </w:r>
      <w:r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頁</w:t>
      </w:r>
      <w:r>
        <w:rPr>
          <w:rFonts w:ascii="Times New Roman" w:eastAsia="標楷體" w:hAnsi="Times New Roman" w:cs="Times New Roman" w:hint="eastAsia"/>
          <w:sz w:val="32"/>
          <w:szCs w:val="32"/>
        </w:rPr>
        <w:t>置頂貼文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F00161" w:rsidRPr="00BE35D5" w:rsidRDefault="00F00161" w:rsidP="00F00161">
      <w:pPr>
        <w:widowControl/>
        <w:numPr>
          <w:ilvl w:val="0"/>
          <w:numId w:val="1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F00161" w:rsidRPr="00BE35D5" w:rsidRDefault="00F00161" w:rsidP="00F00161">
      <w:pPr>
        <w:pStyle w:val="a4"/>
        <w:widowControl/>
        <w:numPr>
          <w:ilvl w:val="1"/>
          <w:numId w:val="1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F00161" w:rsidRPr="00BE35D5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揭臉書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00161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牆，設定為「公開」。</w:t>
      </w:r>
    </w:p>
    <w:p w:rsidR="00F00161" w:rsidRPr="00BE35D5" w:rsidRDefault="00F00161" w:rsidP="00F00161">
      <w:pPr>
        <w:pStyle w:val="a4"/>
        <w:widowControl/>
        <w:numPr>
          <w:ilvl w:val="0"/>
          <w:numId w:val="2"/>
        </w:numPr>
        <w:tabs>
          <w:tab w:val="left" w:pos="426"/>
          <w:tab w:val="left" w:pos="1418"/>
        </w:tabs>
        <w:snapToGrid w:val="0"/>
        <w:spacing w:line="6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至活動網站完成答題測驗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留下臉書帳號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、手機號碼及電子郵件信箱（聯絡通知得獎之用）。</w:t>
      </w:r>
    </w:p>
    <w:p w:rsidR="00F00161" w:rsidRDefault="00F00161" w:rsidP="00F00161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三、抽獎資格</w:t>
      </w:r>
    </w:p>
    <w:p w:rsidR="00F00161" w:rsidRDefault="00F00161" w:rsidP="00F00161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（一）第一輪抽獎：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80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F00161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（二）第二輪特獎抽獎：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F00161" w:rsidRPr="00CF549C" w:rsidRDefault="00F00161" w:rsidP="00F00161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F00161" w:rsidRPr="008B3A57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四、抽獎方式、得獎名單公布及獎品寄送</w:t>
      </w:r>
    </w:p>
    <w:p w:rsidR="00F00161" w:rsidRPr="00C077B4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，同一輪之</w:t>
      </w:r>
      <w:r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F00161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（二）第一輪抽獎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F00161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（三）第二輪抽獎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F00161" w:rsidRPr="008B3A57" w:rsidRDefault="00F00161" w:rsidP="00F00161">
      <w:pPr>
        <w:pStyle w:val="a4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F00161" w:rsidRDefault="00F00161" w:rsidP="00F00161">
      <w:pPr>
        <w:pStyle w:val="a4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（五）抽獎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</w:t>
      </w:r>
      <w:proofErr w:type="gramStart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公布臉書帳號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手機簡訊、電子郵件通知得獎者</w:t>
      </w:r>
      <w:r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F00161" w:rsidRDefault="00F00161" w:rsidP="00F00161">
      <w:pPr>
        <w:pStyle w:val="a4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、第一輪獎品</w:t>
      </w:r>
      <w:r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睿智慧</w:t>
      </w:r>
      <w:proofErr w:type="gramEnd"/>
      <w:r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或其他問題</w:t>
      </w:r>
      <w:r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F00161" w:rsidRDefault="00F00161" w:rsidP="00F00161">
      <w:pPr>
        <w:pStyle w:val="a4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平等處寄送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名得獎者請於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</w:t>
      </w:r>
      <w:proofErr w:type="gramStart"/>
      <w:r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臉書帳號</w:t>
      </w:r>
      <w:proofErr w:type="gramEnd"/>
      <w:r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、聯絡電話、郵遞區號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5" w:history="1">
        <w:r w:rsidRPr="002B2C72">
          <w:rPr>
            <w:rStyle w:val="a3"/>
            <w:rFonts w:ascii="Times New Roman" w:eastAsia="標楷體" w:hAnsi="Times New Roman" w:cs="Times New Roman"/>
            <w:sz w:val="32"/>
            <w:szCs w:val="32"/>
          </w:rPr>
          <w:t>寄至</w:t>
        </w:r>
        <w:r w:rsidRPr="002B2C72">
          <w:rPr>
            <w:rStyle w:val="a3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F00161" w:rsidRDefault="00F00161" w:rsidP="00F00161">
      <w:pPr>
        <w:pStyle w:val="a4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F00161" w:rsidRDefault="00F00161" w:rsidP="00F00161">
      <w:pPr>
        <w:pStyle w:val="a4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F00161" w:rsidRDefault="00F00161" w:rsidP="00F00161">
      <w:pPr>
        <w:pStyle w:val="a4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一、凡參加者即視為</w:t>
      </w:r>
      <w:r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F00161" w:rsidRDefault="00F00161" w:rsidP="00F00161">
      <w:pPr>
        <w:pStyle w:val="a4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</w:t>
      </w:r>
      <w:proofErr w:type="gramEnd"/>
      <w:r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、電子郵件、地址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F00161" w:rsidRDefault="00F00161" w:rsidP="00F00161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如參加者請求主辦單位停止蒐集、處理、利用或刪除個人資料，致影響辨識身分時，視為放棄參加。</w:t>
      </w:r>
    </w:p>
    <w:p w:rsidR="00F00161" w:rsidRPr="001E02AD" w:rsidRDefault="00F00161" w:rsidP="00F00161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規定，參加者得以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F00161" w:rsidRPr="001E02AD" w:rsidRDefault="00F00161" w:rsidP="00F00161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F00161" w:rsidRPr="001E02AD" w:rsidRDefault="00F00161" w:rsidP="00F00161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F00161" w:rsidRPr="001E02AD" w:rsidRDefault="00F00161" w:rsidP="00F00161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F00161" w:rsidRPr="001E02AD" w:rsidRDefault="00F00161" w:rsidP="00F00161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F00161" w:rsidRPr="001E02AD" w:rsidRDefault="00F00161" w:rsidP="00F00161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F00161" w:rsidRPr="001E02AD" w:rsidRDefault="00F00161" w:rsidP="00F00161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、本活動辦法如有未盡事宜，由主辦單位隨時公布補充之。</w:t>
      </w:r>
    </w:p>
    <w:p w:rsidR="00816140" w:rsidRPr="00F00161" w:rsidRDefault="00816140" w:rsidP="00F00161">
      <w:bookmarkStart w:id="0" w:name="_GoBack"/>
      <w:bookmarkEnd w:id="0"/>
    </w:p>
    <w:sectPr w:rsidR="00816140" w:rsidRPr="00F00161" w:rsidSect="00F001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0F8"/>
    <w:multiLevelType w:val="hybridMultilevel"/>
    <w:tmpl w:val="001A1F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61"/>
    <w:rsid w:val="00816140"/>
    <w:rsid w:val="00F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3444B-FD8F-4A4D-A4AA-1F56856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1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0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3492;&#33267;scch@ey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2018-11-29T03:45:00Z</dcterms:created>
  <dcterms:modified xsi:type="dcterms:W3CDTF">2018-11-29T03:47:00Z</dcterms:modified>
</cp:coreProperties>
</file>