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14" w:rsidRDefault="00742714" w:rsidP="00F53A1A">
      <w:pPr>
        <w:spacing w:line="340" w:lineRule="exact"/>
        <w:ind w:firstLineChars="200" w:firstLine="560"/>
        <w:rPr>
          <w:rFonts w:ascii="新細明體"/>
          <w:sz w:val="20"/>
          <w:szCs w:val="20"/>
        </w:rPr>
      </w:pPr>
      <w:r w:rsidRPr="00D96854">
        <w:rPr>
          <w:rFonts w:ascii="新細明體" w:hAnsi="新細明體" w:hint="eastAsia"/>
          <w:sz w:val="28"/>
          <w:szCs w:val="28"/>
        </w:rPr>
        <w:t>臺南市立關廟國民中學減班超額教師處理原則</w:t>
      </w:r>
      <w:r>
        <w:rPr>
          <w:rFonts w:ascii="新細明體" w:hAnsi="新細明體"/>
          <w:sz w:val="28"/>
          <w:szCs w:val="28"/>
        </w:rPr>
        <w:t xml:space="preserve">  </w:t>
      </w:r>
      <w:r w:rsidRPr="0091084F">
        <w:rPr>
          <w:rFonts w:ascii="新細明體" w:hAnsi="新細明體"/>
          <w:sz w:val="20"/>
          <w:szCs w:val="20"/>
        </w:rPr>
        <w:t xml:space="preserve"> </w:t>
      </w:r>
      <w:r w:rsidRPr="0091084F">
        <w:rPr>
          <w:rFonts w:ascii="新細明體" w:hAnsi="新細明體" w:hint="eastAsia"/>
          <w:sz w:val="20"/>
          <w:szCs w:val="20"/>
        </w:rPr>
        <w:t>經</w:t>
      </w:r>
      <w:r w:rsidRPr="0091084F">
        <w:rPr>
          <w:rFonts w:ascii="新細明體" w:hAnsi="新細明體"/>
          <w:sz w:val="20"/>
          <w:szCs w:val="20"/>
        </w:rPr>
        <w:t>100</w:t>
      </w:r>
      <w:r w:rsidRPr="0091084F">
        <w:rPr>
          <w:rFonts w:ascii="新細明體" w:hAnsi="新細明體" w:hint="eastAsia"/>
          <w:sz w:val="20"/>
          <w:szCs w:val="20"/>
        </w:rPr>
        <w:t>年</w:t>
      </w:r>
      <w:r w:rsidRPr="0091084F">
        <w:rPr>
          <w:rFonts w:ascii="新細明體" w:hAnsi="新細明體"/>
          <w:sz w:val="20"/>
          <w:szCs w:val="20"/>
        </w:rPr>
        <w:t>6</w:t>
      </w:r>
      <w:r w:rsidRPr="0091084F">
        <w:rPr>
          <w:rFonts w:ascii="新細明體" w:hAnsi="新細明體" w:hint="eastAsia"/>
          <w:sz w:val="20"/>
          <w:szCs w:val="20"/>
        </w:rPr>
        <w:t>月</w:t>
      </w:r>
      <w:r w:rsidRPr="0091084F">
        <w:rPr>
          <w:rFonts w:ascii="新細明體" w:hAnsi="新細明體"/>
          <w:sz w:val="20"/>
          <w:szCs w:val="20"/>
        </w:rPr>
        <w:t>30</w:t>
      </w:r>
      <w:r w:rsidRPr="0091084F">
        <w:rPr>
          <w:rFonts w:ascii="新細明體" w:hAnsi="新細明體" w:hint="eastAsia"/>
          <w:sz w:val="20"/>
          <w:szCs w:val="20"/>
        </w:rPr>
        <w:t>日校務會議審議通過</w:t>
      </w:r>
    </w:p>
    <w:p w:rsidR="00742714" w:rsidRDefault="00742714" w:rsidP="002668CE">
      <w:pPr>
        <w:spacing w:line="340" w:lineRule="exact"/>
        <w:ind w:firstLineChars="200" w:firstLine="400"/>
        <w:rPr>
          <w:rFonts w:asci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 xml:space="preserve">                                                              100</w:t>
      </w:r>
      <w:r>
        <w:rPr>
          <w:rFonts w:ascii="新細明體" w:hAnsi="新細明體" w:hint="eastAsia"/>
          <w:sz w:val="20"/>
          <w:szCs w:val="20"/>
        </w:rPr>
        <w:t>年</w:t>
      </w:r>
      <w:r>
        <w:rPr>
          <w:rFonts w:ascii="新細明體" w:hAnsi="新細明體"/>
          <w:sz w:val="20"/>
          <w:szCs w:val="20"/>
        </w:rPr>
        <w:t>8</w:t>
      </w:r>
      <w:r>
        <w:rPr>
          <w:rFonts w:ascii="新細明體" w:hAnsi="新細明體" w:hint="eastAsia"/>
          <w:sz w:val="20"/>
          <w:szCs w:val="20"/>
        </w:rPr>
        <w:t>月</w:t>
      </w:r>
      <w:r>
        <w:rPr>
          <w:rFonts w:ascii="新細明體" w:hAnsi="新細明體"/>
          <w:sz w:val="20"/>
          <w:szCs w:val="20"/>
        </w:rPr>
        <w:t>30</w:t>
      </w:r>
      <w:r>
        <w:rPr>
          <w:rFonts w:ascii="新細明體" w:hAnsi="新細明體" w:hint="eastAsia"/>
          <w:sz w:val="20"/>
          <w:szCs w:val="20"/>
        </w:rPr>
        <w:t>日校務會議第</w:t>
      </w:r>
      <w:r>
        <w:rPr>
          <w:rFonts w:ascii="新細明體" w:hAnsi="新細明體"/>
          <w:sz w:val="20"/>
          <w:szCs w:val="20"/>
        </w:rPr>
        <w:t>1</w:t>
      </w:r>
      <w:r>
        <w:rPr>
          <w:rFonts w:ascii="新細明體" w:hAnsi="新細明體" w:hint="eastAsia"/>
          <w:sz w:val="20"/>
          <w:szCs w:val="20"/>
        </w:rPr>
        <w:t>次修正</w:t>
      </w:r>
    </w:p>
    <w:p w:rsidR="00742714" w:rsidRDefault="00742714" w:rsidP="002668CE">
      <w:pPr>
        <w:spacing w:line="340" w:lineRule="exact"/>
        <w:ind w:firstLineChars="200" w:firstLine="400"/>
        <w:rPr>
          <w:rFonts w:asci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 xml:space="preserve">                                                              104</w:t>
      </w:r>
      <w:r>
        <w:rPr>
          <w:rFonts w:ascii="新細明體" w:hAnsi="新細明體" w:hint="eastAsia"/>
          <w:sz w:val="20"/>
          <w:szCs w:val="20"/>
        </w:rPr>
        <w:t>年</w:t>
      </w:r>
      <w:r>
        <w:rPr>
          <w:rFonts w:ascii="新細明體" w:hAnsi="新細明體"/>
          <w:sz w:val="20"/>
          <w:szCs w:val="20"/>
        </w:rPr>
        <w:t>2</w:t>
      </w:r>
      <w:r>
        <w:rPr>
          <w:rFonts w:ascii="新細明體" w:hAnsi="新細明體" w:hint="eastAsia"/>
          <w:sz w:val="20"/>
          <w:szCs w:val="20"/>
        </w:rPr>
        <w:t>月</w:t>
      </w:r>
      <w:r>
        <w:rPr>
          <w:rFonts w:ascii="新細明體" w:hAnsi="新細明體"/>
          <w:sz w:val="20"/>
          <w:szCs w:val="20"/>
        </w:rPr>
        <w:t>16</w:t>
      </w:r>
      <w:r>
        <w:rPr>
          <w:rFonts w:ascii="新細明體" w:hAnsi="新細明體" w:hint="eastAsia"/>
          <w:sz w:val="20"/>
          <w:szCs w:val="20"/>
        </w:rPr>
        <w:t>日校務會議第</w:t>
      </w:r>
      <w:r>
        <w:rPr>
          <w:rFonts w:ascii="新細明體" w:hAnsi="新細明體"/>
          <w:sz w:val="20"/>
          <w:szCs w:val="20"/>
        </w:rPr>
        <w:t>2</w:t>
      </w:r>
      <w:r>
        <w:rPr>
          <w:rFonts w:ascii="新細明體" w:hAnsi="新細明體" w:hint="eastAsia"/>
          <w:sz w:val="20"/>
          <w:szCs w:val="20"/>
        </w:rPr>
        <w:t>次修正</w:t>
      </w:r>
    </w:p>
    <w:p w:rsidR="00742714" w:rsidRPr="0091084F" w:rsidRDefault="00742714" w:rsidP="00AC24C2">
      <w:pPr>
        <w:spacing w:line="340" w:lineRule="exact"/>
        <w:ind w:right="400" w:firstLineChars="200" w:firstLine="400"/>
        <w:jc w:val="right"/>
        <w:rPr>
          <w:rFonts w:asci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 xml:space="preserve">         106</w:t>
      </w:r>
      <w:r>
        <w:rPr>
          <w:rFonts w:ascii="新細明體" w:hAnsi="新細明體" w:hint="eastAsia"/>
          <w:sz w:val="20"/>
          <w:szCs w:val="20"/>
        </w:rPr>
        <w:t>年</w:t>
      </w:r>
      <w:r>
        <w:rPr>
          <w:rFonts w:ascii="新細明體" w:hAnsi="新細明體"/>
          <w:sz w:val="20"/>
          <w:szCs w:val="20"/>
        </w:rPr>
        <w:t>2</w:t>
      </w:r>
      <w:r>
        <w:rPr>
          <w:rFonts w:ascii="新細明體" w:hAnsi="新細明體" w:hint="eastAsia"/>
          <w:sz w:val="20"/>
          <w:szCs w:val="20"/>
        </w:rPr>
        <w:t>月</w:t>
      </w:r>
      <w:r>
        <w:rPr>
          <w:rFonts w:ascii="新細明體" w:hAnsi="新細明體"/>
          <w:sz w:val="20"/>
          <w:szCs w:val="20"/>
        </w:rPr>
        <w:t>10</w:t>
      </w:r>
      <w:r>
        <w:rPr>
          <w:rFonts w:ascii="新細明體" w:hAnsi="新細明體" w:hint="eastAsia"/>
          <w:sz w:val="20"/>
          <w:szCs w:val="20"/>
        </w:rPr>
        <w:t>日校務會議第</w:t>
      </w:r>
      <w:r>
        <w:rPr>
          <w:rFonts w:ascii="新細明體" w:hAnsi="新細明體"/>
          <w:sz w:val="20"/>
          <w:szCs w:val="20"/>
        </w:rPr>
        <w:t>3</w:t>
      </w:r>
      <w:r>
        <w:rPr>
          <w:rFonts w:ascii="新細明體" w:hAnsi="新細明體" w:hint="eastAsia"/>
          <w:sz w:val="20"/>
          <w:szCs w:val="20"/>
        </w:rPr>
        <w:t>次修正</w:t>
      </w:r>
    </w:p>
    <w:p w:rsidR="00742714" w:rsidRPr="00D96854" w:rsidRDefault="00742714" w:rsidP="002668CE">
      <w:pPr>
        <w:spacing w:line="320" w:lineRule="exact"/>
        <w:ind w:left="480" w:hangingChars="200" w:hanging="480"/>
        <w:rPr>
          <w:rFonts w:ascii="新細明體"/>
        </w:rPr>
      </w:pPr>
      <w:r w:rsidRPr="00D96854">
        <w:rPr>
          <w:rFonts w:ascii="新細明體" w:hAnsi="新細明體" w:hint="eastAsia"/>
        </w:rPr>
        <w:t>一、為公平、公正、公開處理本校減班超額教師，依據教師法第</w:t>
      </w:r>
      <w:r w:rsidRPr="00D96854">
        <w:rPr>
          <w:rFonts w:ascii="新細明體" w:hAnsi="新細明體"/>
        </w:rPr>
        <w:t>15</w:t>
      </w:r>
      <w:r w:rsidRPr="00D96854">
        <w:rPr>
          <w:rFonts w:ascii="新細明體" w:hAnsi="新細明體" w:hint="eastAsia"/>
        </w:rPr>
        <w:t>條及「</w:t>
      </w:r>
      <w:r w:rsidRPr="00D168BA">
        <w:rPr>
          <w:rFonts w:ascii="新細明體" w:hAnsi="新細明體" w:hint="eastAsia"/>
        </w:rPr>
        <w:t>臺南市立</w:t>
      </w:r>
      <w:r w:rsidRPr="00944859">
        <w:rPr>
          <w:rFonts w:ascii="新細明體" w:hAnsi="新細明體" w:hint="eastAsia"/>
          <w:color w:val="C00000"/>
        </w:rPr>
        <w:t>高級中等以下學校</w:t>
      </w:r>
      <w:r w:rsidRPr="00D168BA">
        <w:rPr>
          <w:rFonts w:ascii="新細明體" w:hAnsi="新細明體" w:hint="eastAsia"/>
        </w:rPr>
        <w:t>暨幼兒園辦理教師介聘甄選分發實施要點</w:t>
      </w:r>
      <w:r w:rsidRPr="00D96854">
        <w:rPr>
          <w:rFonts w:ascii="新細明體" w:hAnsi="新細明體" w:hint="eastAsia"/>
        </w:rPr>
        <w:t>」</w:t>
      </w:r>
      <w:r w:rsidRPr="00285972">
        <w:rPr>
          <w:rFonts w:ascii="新細明體" w:hAnsi="新細明體" w:hint="eastAsia"/>
        </w:rPr>
        <w:t>（以下簡稱本市介聘甄選分發實施要點）</w:t>
      </w:r>
      <w:r w:rsidRPr="00D96854">
        <w:rPr>
          <w:rFonts w:ascii="新細明體" w:hAnsi="新細明體" w:hint="eastAsia"/>
        </w:rPr>
        <w:t>訂定本處理原則。</w:t>
      </w:r>
    </w:p>
    <w:p w:rsidR="00742714" w:rsidRPr="00D96854" w:rsidRDefault="00742714" w:rsidP="002668CE">
      <w:pPr>
        <w:adjustRightInd w:val="0"/>
        <w:spacing w:line="320" w:lineRule="exact"/>
        <w:ind w:left="480" w:hangingChars="200" w:hanging="480"/>
        <w:rPr>
          <w:rFonts w:ascii="新細明體"/>
        </w:rPr>
      </w:pPr>
      <w:r w:rsidRPr="00D96854">
        <w:rPr>
          <w:rFonts w:ascii="新細明體" w:hAnsi="新細明體" w:hint="eastAsia"/>
        </w:rPr>
        <w:t>二、本校為處理減班超額教師，應依據</w:t>
      </w:r>
      <w:r w:rsidRPr="00D168BA">
        <w:rPr>
          <w:rFonts w:ascii="新細明體" w:hAnsi="新細明體" w:hint="eastAsia"/>
        </w:rPr>
        <w:t>本市介聘甄選分發實施要點</w:t>
      </w:r>
      <w:r w:rsidRPr="00D96854">
        <w:rPr>
          <w:rFonts w:ascii="新細明體" w:hAnsi="新細明體" w:hint="eastAsia"/>
        </w:rPr>
        <w:t>規定，由校長召集相關處室主任及教師評審委員會委員組成「評審小組」擬訂『超額教師處理原則』，並經校務會議通過後實施。</w:t>
      </w:r>
    </w:p>
    <w:p w:rsidR="00742714" w:rsidRPr="00D96854" w:rsidRDefault="00742714" w:rsidP="002668CE">
      <w:pPr>
        <w:spacing w:line="320" w:lineRule="exact"/>
        <w:rPr>
          <w:rFonts w:ascii="新細明體"/>
        </w:rPr>
      </w:pPr>
      <w:r w:rsidRPr="00D96854">
        <w:rPr>
          <w:rFonts w:ascii="新細明體" w:hAnsi="新細明體" w:hint="eastAsia"/>
        </w:rPr>
        <w:t>三、本校超額教師處理原則：</w:t>
      </w:r>
    </w:p>
    <w:p w:rsidR="00742714" w:rsidRPr="00D96854" w:rsidRDefault="00742714" w:rsidP="002668CE">
      <w:pPr>
        <w:spacing w:line="320" w:lineRule="exact"/>
        <w:ind w:leftChars="200" w:left="1200" w:hangingChars="300" w:hanging="720"/>
        <w:rPr>
          <w:rFonts w:ascii="新細明體"/>
        </w:rPr>
      </w:pPr>
      <w:r w:rsidRPr="00D96854">
        <w:rPr>
          <w:rFonts w:ascii="新細明體" w:hAnsi="新細明體" w:hint="eastAsia"/>
        </w:rPr>
        <w:t>（一）超額人數之計算：</w:t>
      </w:r>
    </w:p>
    <w:p w:rsidR="00742714" w:rsidRPr="00D96854" w:rsidRDefault="00742714" w:rsidP="002668CE">
      <w:pPr>
        <w:spacing w:line="320" w:lineRule="exact"/>
        <w:ind w:leftChars="500" w:left="1440" w:hangingChars="100" w:hanging="240"/>
        <w:rPr>
          <w:rFonts w:ascii="新細明體"/>
        </w:rPr>
      </w:pPr>
      <w:r w:rsidRPr="00D96854">
        <w:rPr>
          <w:rFonts w:ascii="新細明體" w:hAnsi="新細明體"/>
        </w:rPr>
        <w:t>1.</w:t>
      </w:r>
      <w:r w:rsidRPr="00D96854">
        <w:rPr>
          <w:rFonts w:ascii="新細明體" w:hAnsi="新細明體" w:hint="eastAsia"/>
        </w:rPr>
        <w:t>以</w:t>
      </w:r>
      <w:r w:rsidRPr="00944859">
        <w:rPr>
          <w:rFonts w:ascii="新細明體" w:hAnsi="新細明體" w:hint="eastAsia"/>
          <w:color w:val="C00000"/>
        </w:rPr>
        <w:t>次</w:t>
      </w:r>
      <w:r w:rsidRPr="00D96854">
        <w:rPr>
          <w:rFonts w:ascii="新細明體" w:hAnsi="新細明體" w:hint="eastAsia"/>
        </w:rPr>
        <w:t>學年度</w:t>
      </w:r>
      <w:r w:rsidRPr="00944859">
        <w:rPr>
          <w:rFonts w:ascii="新細明體" w:hAnsi="新細明體" w:hint="eastAsia"/>
          <w:color w:val="C00000"/>
        </w:rPr>
        <w:t>預估</w:t>
      </w:r>
      <w:r w:rsidRPr="00D96854">
        <w:rPr>
          <w:rFonts w:ascii="新細明體" w:hAnsi="新細明體" w:hint="eastAsia"/>
        </w:rPr>
        <w:t>應有教師數與當學年度現有教師數之差額定之，惟新生未完成編班前，則以市府公告之預估班級數做為估算</w:t>
      </w:r>
      <w:r w:rsidRPr="00E51EA3">
        <w:rPr>
          <w:rFonts w:ascii="新細明體" w:hAnsi="新細明體" w:hint="eastAsia"/>
          <w:color w:val="C00000"/>
        </w:rPr>
        <w:t>次</w:t>
      </w:r>
      <w:r w:rsidRPr="00D96854">
        <w:rPr>
          <w:rFonts w:ascii="新細明體" w:hAnsi="新細明體" w:hint="eastAsia"/>
        </w:rPr>
        <w:t>學年度應有教師數之基準。普通班、資源班分開計算之。</w:t>
      </w:r>
    </w:p>
    <w:p w:rsidR="00742714" w:rsidRDefault="00742714" w:rsidP="002668CE">
      <w:pPr>
        <w:adjustRightInd w:val="0"/>
        <w:spacing w:line="320" w:lineRule="exact"/>
        <w:ind w:leftChars="500" w:left="1440" w:hangingChars="100" w:hanging="240"/>
        <w:rPr>
          <w:rFonts w:ascii="新細明體"/>
        </w:rPr>
      </w:pPr>
      <w:r w:rsidRPr="00D96854">
        <w:rPr>
          <w:rFonts w:ascii="新細明體" w:hAnsi="新細明體"/>
        </w:rPr>
        <w:t>2.</w:t>
      </w:r>
      <w:r w:rsidRPr="00D96854">
        <w:rPr>
          <w:rFonts w:ascii="新細明體" w:hAnsi="新細明體" w:hint="eastAsia"/>
        </w:rPr>
        <w:t>經計算後有超額教師之情形時，但有教師因病假、</w:t>
      </w:r>
      <w:r w:rsidRPr="00D168BA">
        <w:rPr>
          <w:rFonts w:ascii="新細明體" w:hAnsi="新細明體" w:hint="eastAsia"/>
        </w:rPr>
        <w:t>育嬰、侍親、進修、受訓、服役或公假等原因</w:t>
      </w:r>
      <w:r w:rsidRPr="00D96854">
        <w:rPr>
          <w:rFonts w:ascii="新細明體" w:hAnsi="新細明體" w:hint="eastAsia"/>
        </w:rPr>
        <w:t>，請假滿一學年以上者，</w:t>
      </w:r>
      <w:r w:rsidRPr="00D168BA">
        <w:rPr>
          <w:rFonts w:ascii="新細明體" w:hAnsi="新細明體" w:hint="eastAsia"/>
        </w:rPr>
        <w:t>及當年八月一日有核准退休者</w:t>
      </w:r>
      <w:r w:rsidRPr="00D96854">
        <w:rPr>
          <w:rFonts w:ascii="新細明體" w:hAnsi="新細明體" w:hint="eastAsia"/>
        </w:rPr>
        <w:t>得保留相等人數之超額教師，暫免予介聘他校。</w:t>
      </w:r>
    </w:p>
    <w:p w:rsidR="00742714" w:rsidRPr="00F53A1A" w:rsidRDefault="00742714" w:rsidP="002668CE">
      <w:pPr>
        <w:adjustRightInd w:val="0"/>
        <w:spacing w:line="320" w:lineRule="exact"/>
        <w:ind w:firstLineChars="200" w:firstLine="480"/>
        <w:rPr>
          <w:rFonts w:ascii="新細明體"/>
        </w:rPr>
      </w:pPr>
      <w:r>
        <w:rPr>
          <w:rFonts w:ascii="新細明體" w:hAnsi="新細明體" w:hint="eastAsia"/>
        </w:rPr>
        <w:t>（二）若</w:t>
      </w:r>
      <w:r w:rsidRPr="00F53A1A">
        <w:rPr>
          <w:rFonts w:ascii="新細明體" w:hAnsi="新細明體" w:hint="eastAsia"/>
        </w:rPr>
        <w:t>因超額調至本校</w:t>
      </w:r>
      <w:r>
        <w:rPr>
          <w:rFonts w:ascii="新細明體" w:hAnsi="新細明體" w:hint="eastAsia"/>
        </w:rPr>
        <w:t>之</w:t>
      </w:r>
      <w:r w:rsidRPr="00F53A1A">
        <w:rPr>
          <w:rFonts w:ascii="新細明體" w:hAnsi="新細明體" w:hint="eastAsia"/>
        </w:rPr>
        <w:t>教師，</w:t>
      </w:r>
      <w:r w:rsidRPr="00D168BA">
        <w:rPr>
          <w:rFonts w:ascii="新細明體" w:hAnsi="新細明體" w:hint="eastAsia"/>
        </w:rPr>
        <w:t>三</w:t>
      </w:r>
      <w:r w:rsidRPr="00F53A1A">
        <w:rPr>
          <w:rFonts w:ascii="新細明體" w:hAnsi="新細明體" w:hint="eastAsia"/>
        </w:rPr>
        <w:t>年內如非出於志願不得再以超額教師調動。</w:t>
      </w:r>
    </w:p>
    <w:p w:rsidR="00742714" w:rsidRPr="00D96854" w:rsidRDefault="00742714" w:rsidP="002668CE">
      <w:pPr>
        <w:spacing w:line="320" w:lineRule="exact"/>
        <w:ind w:leftChars="200" w:left="1200" w:hangingChars="300" w:hanging="720"/>
        <w:rPr>
          <w:rFonts w:ascii="新細明體"/>
        </w:rPr>
      </w:pPr>
      <w:r w:rsidRPr="00D96854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D96854">
        <w:rPr>
          <w:rFonts w:ascii="新細明體" w:hAnsi="新細明體" w:hint="eastAsia"/>
        </w:rPr>
        <w:t>）超額教師之領域科目，由教務處依</w:t>
      </w:r>
      <w:r w:rsidRPr="009D18F8">
        <w:rPr>
          <w:rFonts w:ascii="新細明體" w:hAnsi="新細明體" w:hint="eastAsia"/>
          <w:color w:val="C00000"/>
        </w:rPr>
        <w:t>次學年度預估</w:t>
      </w:r>
      <w:r>
        <w:rPr>
          <w:rFonts w:ascii="新細明體" w:hAnsi="新細明體" w:hint="eastAsia"/>
        </w:rPr>
        <w:t>班級數</w:t>
      </w:r>
      <w:r w:rsidRPr="00D96854">
        <w:rPr>
          <w:rFonts w:ascii="新細明體" w:hAnsi="新細明體" w:hint="eastAsia"/>
        </w:rPr>
        <w:t>、課務及專長結構核算後排出應超額領域序位，會同領域召集人確認後，送交「</w:t>
      </w:r>
      <w:r>
        <w:rPr>
          <w:rFonts w:ascii="新細明體" w:hAnsi="新細明體" w:hint="eastAsia"/>
          <w:color w:val="C00000"/>
        </w:rPr>
        <w:t>教評會</w:t>
      </w:r>
      <w:r w:rsidRPr="00D96854">
        <w:rPr>
          <w:rFonts w:ascii="新細明體" w:hAnsi="新細明體" w:hint="eastAsia"/>
        </w:rPr>
        <w:t>」核定後公布之。</w:t>
      </w:r>
      <w:r w:rsidRPr="00582C4E">
        <w:rPr>
          <w:rFonts w:ascii="新細明體" w:hAnsi="新細明體" w:hint="eastAsia"/>
          <w:color w:val="C00000"/>
        </w:rPr>
        <w:t>減班</w:t>
      </w:r>
      <w:r w:rsidRPr="009D18F8">
        <w:rPr>
          <w:rFonts w:ascii="新細明體" w:hAnsi="新細明體" w:hint="eastAsia"/>
          <w:color w:val="C00000"/>
        </w:rPr>
        <w:t>超額教師計算原則由教務處擬定後經校務會議通過後實施之</w:t>
      </w:r>
      <w:r>
        <w:rPr>
          <w:rFonts w:ascii="新細明體" w:hAnsi="新細明體" w:hint="eastAsia"/>
          <w:color w:val="C00000"/>
        </w:rPr>
        <w:t>。</w:t>
      </w:r>
    </w:p>
    <w:p w:rsidR="00742714" w:rsidRPr="00D96854" w:rsidRDefault="00742714" w:rsidP="002668CE">
      <w:pPr>
        <w:spacing w:line="320" w:lineRule="exact"/>
        <w:ind w:leftChars="200" w:left="1200" w:hangingChars="300" w:hanging="720"/>
        <w:rPr>
          <w:rFonts w:ascii="新細明體"/>
        </w:rPr>
      </w:pPr>
      <w:r w:rsidRPr="00D96854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四</w:t>
      </w:r>
      <w:r w:rsidRPr="00D96854">
        <w:rPr>
          <w:rFonts w:ascii="新細明體" w:hAnsi="新細明體" w:hint="eastAsia"/>
        </w:rPr>
        <w:t>）教師任教領</w:t>
      </w:r>
      <w:r>
        <w:rPr>
          <w:rFonts w:ascii="新細明體" w:hAnsi="新細明體" w:hint="eastAsia"/>
        </w:rPr>
        <w:t>域</w:t>
      </w:r>
      <w:r w:rsidRPr="00D96854">
        <w:rPr>
          <w:rFonts w:ascii="新細明體" w:hAnsi="新細明體" w:hint="eastAsia"/>
        </w:rPr>
        <w:t>科目之認定以教師證登記科目為依據；有二科教師證登記科目以上者，以初進本校任教之科目認定（轉科目者，其服務年資則以新轉科目之日起算）。</w:t>
      </w:r>
    </w:p>
    <w:p w:rsidR="00742714" w:rsidRPr="00D96854" w:rsidRDefault="00742714" w:rsidP="002668CE">
      <w:pPr>
        <w:spacing w:line="320" w:lineRule="exact"/>
        <w:ind w:leftChars="200" w:left="1200" w:hangingChars="300" w:hanging="720"/>
        <w:rPr>
          <w:rFonts w:ascii="新細明體"/>
        </w:rPr>
      </w:pPr>
      <w:r w:rsidRPr="00D96854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五</w:t>
      </w:r>
      <w:r w:rsidRPr="00D96854">
        <w:rPr>
          <w:rFonts w:ascii="新細明體" w:hAnsi="新細明體" w:hint="eastAsia"/>
        </w:rPr>
        <w:t>）本校資源班教師有缺額時，本校普通班超額教師如具有聘任資格者，經教評會審查同意後得優先轉任。資源班超額教師轉任普通班亦同。</w:t>
      </w:r>
    </w:p>
    <w:p w:rsidR="00742714" w:rsidRPr="00D96854" w:rsidRDefault="00742714" w:rsidP="002668CE">
      <w:pPr>
        <w:spacing w:line="320" w:lineRule="exact"/>
        <w:ind w:leftChars="225" w:left="1260" w:hangingChars="300" w:hanging="720"/>
        <w:rPr>
          <w:rFonts w:ascii="新細明體"/>
        </w:rPr>
      </w:pPr>
      <w:r w:rsidRPr="00D96854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六</w:t>
      </w:r>
      <w:r w:rsidRPr="00D96854">
        <w:rPr>
          <w:rFonts w:ascii="新細明體" w:hAnsi="新細明體" w:hint="eastAsia"/>
        </w:rPr>
        <w:t>）超額教師調出後，</w:t>
      </w:r>
      <w:r w:rsidRPr="00D168BA">
        <w:rPr>
          <w:rFonts w:ascii="新細明體" w:hAnsi="新細明體" w:hint="eastAsia"/>
        </w:rPr>
        <w:t>於參加教師介聘當年度８月１日前</w:t>
      </w:r>
      <w:r w:rsidRPr="00D96854">
        <w:rPr>
          <w:rFonts w:ascii="新細明體" w:hAnsi="新細明體" w:hint="eastAsia"/>
        </w:rPr>
        <w:t>，如本校有缺額，則由教務處確定缺額之領域科目，人事室通知該領域科目已受超額介聘之教師，得經新介聘及本校教評會同意優先返原校服務，若申請調回本校服務之教師超過實缺時，則以在本校服務年資較長者為優先。</w:t>
      </w:r>
    </w:p>
    <w:p w:rsidR="00742714" w:rsidRPr="00D96854" w:rsidRDefault="00742714" w:rsidP="002668CE">
      <w:pPr>
        <w:spacing w:line="320" w:lineRule="exact"/>
        <w:ind w:firstLineChars="200" w:firstLine="480"/>
        <w:rPr>
          <w:rFonts w:ascii="新細明體"/>
        </w:rPr>
      </w:pPr>
      <w:r w:rsidRPr="00D96854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七</w:t>
      </w:r>
      <w:r w:rsidRPr="00D96854">
        <w:rPr>
          <w:rFonts w:ascii="新細明體" w:hAnsi="新細明體" w:hint="eastAsia"/>
        </w:rPr>
        <w:t>）本校依下列原則按各領域科目應超額教師人數遴選出超額教師名單：</w:t>
      </w:r>
    </w:p>
    <w:p w:rsidR="00742714" w:rsidRPr="00D96854" w:rsidRDefault="00742714" w:rsidP="002668CE">
      <w:pPr>
        <w:pStyle w:val="BodyTextIndent3"/>
        <w:spacing w:line="320" w:lineRule="exact"/>
        <w:ind w:leftChars="424" w:left="1618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1</w:t>
      </w:r>
      <w:r w:rsidRPr="00D96854">
        <w:rPr>
          <w:rFonts w:ascii="新細明體" w:eastAsia="新細明體" w:hAnsi="新細明體" w:hint="eastAsia"/>
          <w:sz w:val="24"/>
          <w:szCs w:val="24"/>
        </w:rPr>
        <w:t>）任教超額領域科目之教師，有志願調出者優先遴報，若志願調出人數超出應調出人數，則以在本校服務年資較長者為優先（在本校留職停薪之年資應予扣除），年資相同時以抽籤決定之。</w:t>
      </w:r>
    </w:p>
    <w:p w:rsidR="00742714" w:rsidRPr="00D96854" w:rsidRDefault="00742714" w:rsidP="002668CE">
      <w:pPr>
        <w:pStyle w:val="BodyTextIndent3"/>
        <w:spacing w:line="320" w:lineRule="exact"/>
        <w:ind w:leftChars="403" w:left="1567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2</w:t>
      </w:r>
      <w:r w:rsidRPr="00D96854">
        <w:rPr>
          <w:rFonts w:ascii="新細明體" w:eastAsia="新細明體" w:hAnsi="新細明體" w:hint="eastAsia"/>
          <w:sz w:val="24"/>
          <w:szCs w:val="24"/>
        </w:rPr>
        <w:t>）任教超額領域科目之教師，無志願調出者，以在本校服務年資最淺者為優先（在本校留職停薪之年資應予扣除），年資相同時以抽籤決定之</w:t>
      </w:r>
      <w:r>
        <w:rPr>
          <w:rFonts w:ascii="新細明體" w:eastAsia="新細明體" w:hAnsi="新細明體" w:hint="eastAsia"/>
          <w:sz w:val="24"/>
          <w:szCs w:val="24"/>
        </w:rPr>
        <w:t>，惟排除</w:t>
      </w:r>
      <w:r w:rsidRPr="0067502C">
        <w:rPr>
          <w:rFonts w:ascii="新細明體" w:eastAsia="新細明體" w:hAnsi="新細明體" w:hint="eastAsia"/>
          <w:color w:val="C00000"/>
          <w:sz w:val="24"/>
          <w:szCs w:val="24"/>
        </w:rPr>
        <w:t>當學年度接任且次學年度續</w:t>
      </w:r>
      <w:r>
        <w:rPr>
          <w:rFonts w:ascii="新細明體" w:eastAsia="新細明體" w:hAnsi="新細明體" w:hint="eastAsia"/>
          <w:sz w:val="24"/>
          <w:szCs w:val="24"/>
        </w:rPr>
        <w:t>兼任各處室主任、生教組長及教學組長</w:t>
      </w:r>
      <w:r w:rsidRPr="00D96854">
        <w:rPr>
          <w:rFonts w:ascii="新細明體" w:eastAsia="新細明體" w:hAnsi="新細明體" w:hint="eastAsia"/>
          <w:sz w:val="24"/>
          <w:szCs w:val="24"/>
        </w:rPr>
        <w:t>。</w:t>
      </w:r>
    </w:p>
    <w:p w:rsidR="00742714" w:rsidRPr="00D96854" w:rsidRDefault="00742714" w:rsidP="002668CE">
      <w:pPr>
        <w:pStyle w:val="BodyTextIndent3"/>
        <w:spacing w:line="320" w:lineRule="exact"/>
        <w:ind w:leftChars="403" w:left="1567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3</w:t>
      </w:r>
      <w:r w:rsidRPr="00D96854">
        <w:rPr>
          <w:rFonts w:ascii="新細明體" w:eastAsia="新細明體" w:hAnsi="新細明體" w:hint="eastAsia"/>
          <w:sz w:val="24"/>
          <w:szCs w:val="24"/>
        </w:rPr>
        <w:t>）持有身心障礙手冊之教師，在本校未足額進用身心障礙人員前，得予保障不受上述超額教師遴選之調動。</w:t>
      </w:r>
    </w:p>
    <w:p w:rsidR="00742714" w:rsidRPr="00D96854" w:rsidRDefault="00742714" w:rsidP="002668CE">
      <w:pPr>
        <w:pStyle w:val="BodyTextIndent3"/>
        <w:spacing w:line="320" w:lineRule="exact"/>
        <w:ind w:leftChars="389" w:left="934" w:firstLine="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4</w:t>
      </w:r>
      <w:r w:rsidRPr="00D96854">
        <w:rPr>
          <w:rFonts w:ascii="新細明體" w:eastAsia="新細明體" w:hAnsi="新細明體" w:hint="eastAsia"/>
          <w:sz w:val="24"/>
          <w:szCs w:val="24"/>
        </w:rPr>
        <w:t>）有特殊情況者由「</w:t>
      </w:r>
      <w:r>
        <w:rPr>
          <w:rFonts w:ascii="新細明體" w:hAnsi="新細明體" w:hint="eastAsia"/>
          <w:color w:val="C00000"/>
        </w:rPr>
        <w:t>教評會</w:t>
      </w:r>
      <w:r w:rsidRPr="00D96854">
        <w:rPr>
          <w:rFonts w:ascii="新細明體" w:eastAsia="新細明體" w:hAnsi="新細明體" w:hint="eastAsia"/>
          <w:sz w:val="24"/>
          <w:szCs w:val="24"/>
        </w:rPr>
        <w:t>」決定之。</w:t>
      </w:r>
    </w:p>
    <w:p w:rsidR="00742714" w:rsidRPr="00D96854" w:rsidRDefault="00742714" w:rsidP="002668CE">
      <w:pPr>
        <w:pStyle w:val="BodyTextIndent3"/>
        <w:spacing w:line="320" w:lineRule="exact"/>
        <w:ind w:leftChars="176" w:left="1142" w:hangingChars="300" w:hanging="720"/>
        <w:rPr>
          <w:rFonts w:ascii="新細明體" w:eastAsia="新細明體" w:hAnsi="新細明體"/>
          <w:b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>
        <w:rPr>
          <w:rFonts w:ascii="新細明體" w:eastAsia="新細明體" w:hAnsi="新細明體" w:hint="eastAsia"/>
          <w:sz w:val="24"/>
          <w:szCs w:val="24"/>
        </w:rPr>
        <w:t>八</w:t>
      </w:r>
      <w:r w:rsidRPr="00D96854">
        <w:rPr>
          <w:rFonts w:ascii="新細明體" w:eastAsia="新細明體" w:hAnsi="新細明體" w:hint="eastAsia"/>
          <w:sz w:val="24"/>
          <w:szCs w:val="24"/>
        </w:rPr>
        <w:t>）本市各校若無本校超額領域科目之缺額時，本校應依據本市實施要點之規定，由「</w:t>
      </w:r>
      <w:r>
        <w:rPr>
          <w:rFonts w:ascii="新細明體" w:hAnsi="新細明體" w:hint="eastAsia"/>
          <w:color w:val="C00000"/>
        </w:rPr>
        <w:t>教評會</w:t>
      </w:r>
      <w:r w:rsidRPr="00D96854">
        <w:rPr>
          <w:rFonts w:ascii="新細明體" w:eastAsia="新細明體" w:hAnsi="新細明體" w:hint="eastAsia"/>
          <w:sz w:val="24"/>
          <w:szCs w:val="24"/>
        </w:rPr>
        <w:t>」</w:t>
      </w:r>
      <w:r w:rsidRPr="0078579B">
        <w:rPr>
          <w:rFonts w:ascii="新細明體" w:eastAsia="新細明體" w:hAnsi="新細明體" w:hint="eastAsia"/>
          <w:sz w:val="24"/>
          <w:szCs w:val="24"/>
        </w:rPr>
        <w:t>決定調整符合缺額學校所需之領域科目，並依下列順序遴</w:t>
      </w:r>
      <w:r w:rsidRPr="00D96854">
        <w:rPr>
          <w:rFonts w:ascii="新細明體" w:eastAsia="新細明體" w:hAnsi="新細明體" w:hint="eastAsia"/>
          <w:sz w:val="24"/>
          <w:szCs w:val="24"/>
        </w:rPr>
        <w:t>報：</w:t>
      </w:r>
    </w:p>
    <w:p w:rsidR="00742714" w:rsidRPr="00D96854" w:rsidRDefault="00742714" w:rsidP="002668CE">
      <w:pPr>
        <w:pStyle w:val="BodyTextIndent3"/>
        <w:spacing w:line="320" w:lineRule="exact"/>
        <w:ind w:leftChars="366" w:left="1478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1</w:t>
      </w:r>
      <w:r w:rsidRPr="00D96854">
        <w:rPr>
          <w:rFonts w:ascii="新細明體" w:eastAsia="新細明體" w:hAnsi="新細明體" w:hint="eastAsia"/>
          <w:sz w:val="24"/>
          <w:szCs w:val="24"/>
        </w:rPr>
        <w:t>）任教超額領域科目之教師，有志願調出者優先遴報，若志願調出人數超出應調出人數，則以在本校服務年資較長者為優先（在本校留職停薪之年資應予扣除），年資相同時以抽籤決定之。</w:t>
      </w:r>
    </w:p>
    <w:p w:rsidR="00742714" w:rsidRPr="002668CE" w:rsidRDefault="00742714" w:rsidP="002668CE">
      <w:pPr>
        <w:pStyle w:val="BodyTextIndent3"/>
        <w:spacing w:line="320" w:lineRule="exact"/>
        <w:ind w:leftChars="403" w:left="1567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2</w:t>
      </w:r>
      <w:r w:rsidRPr="00D96854">
        <w:rPr>
          <w:rFonts w:ascii="新細明體" w:eastAsia="新細明體" w:hAnsi="新細明體" w:hint="eastAsia"/>
          <w:sz w:val="24"/>
          <w:szCs w:val="24"/>
        </w:rPr>
        <w:t>）任教超額領域科目之教師，無志願調出者，以在本校服務年資最淺者為優先（在本校留職停薪之年資應予扣除），年資相同時以抽籤決定之</w:t>
      </w:r>
      <w:r>
        <w:rPr>
          <w:rFonts w:ascii="新細明體" w:eastAsia="新細明體" w:hAnsi="新細明體" w:hint="eastAsia"/>
          <w:sz w:val="24"/>
          <w:szCs w:val="24"/>
        </w:rPr>
        <w:t>，惟排除</w:t>
      </w:r>
      <w:r w:rsidRPr="0067502C">
        <w:rPr>
          <w:rFonts w:ascii="新細明體" w:eastAsia="新細明體" w:hAnsi="新細明體" w:hint="eastAsia"/>
          <w:color w:val="C00000"/>
          <w:sz w:val="24"/>
          <w:szCs w:val="24"/>
        </w:rPr>
        <w:t>當學年度接任且次學年度續</w:t>
      </w:r>
      <w:r>
        <w:rPr>
          <w:rFonts w:ascii="新細明體" w:eastAsia="新細明體" w:hAnsi="新細明體" w:hint="eastAsia"/>
          <w:sz w:val="24"/>
          <w:szCs w:val="24"/>
        </w:rPr>
        <w:t>兼任各處室主任、生教組長及教學組長</w:t>
      </w:r>
      <w:r w:rsidRPr="00D96854">
        <w:rPr>
          <w:rFonts w:ascii="新細明體" w:eastAsia="新細明體" w:hAnsi="新細明體" w:hint="eastAsia"/>
          <w:sz w:val="24"/>
          <w:szCs w:val="24"/>
        </w:rPr>
        <w:t>。</w:t>
      </w:r>
    </w:p>
    <w:p w:rsidR="00742714" w:rsidRPr="00D96854" w:rsidRDefault="00742714" w:rsidP="002668CE">
      <w:pPr>
        <w:pStyle w:val="BodyTextIndent3"/>
        <w:spacing w:line="320" w:lineRule="exact"/>
        <w:ind w:leftChars="403" w:left="1567" w:hangingChars="250" w:hanging="60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3</w:t>
      </w:r>
      <w:r w:rsidRPr="00D96854">
        <w:rPr>
          <w:rFonts w:ascii="新細明體" w:eastAsia="新細明體" w:hAnsi="新細明體" w:hint="eastAsia"/>
          <w:sz w:val="24"/>
          <w:szCs w:val="24"/>
        </w:rPr>
        <w:t>）持有身心障礙手冊之教師，在本校未足額進用身心障礙人員前，得予保障不受上述超額教師遴選之調動。</w:t>
      </w:r>
    </w:p>
    <w:p w:rsidR="00742714" w:rsidRPr="00D96854" w:rsidRDefault="00742714" w:rsidP="002668CE">
      <w:pPr>
        <w:pStyle w:val="BodyTextIndent3"/>
        <w:spacing w:line="320" w:lineRule="exact"/>
        <w:ind w:leftChars="389" w:left="934" w:firstLine="0"/>
        <w:rPr>
          <w:rFonts w:ascii="新細明體" w:eastAsia="新細明體" w:hAnsi="新細明體"/>
          <w:sz w:val="24"/>
          <w:szCs w:val="24"/>
        </w:rPr>
      </w:pPr>
      <w:r w:rsidRPr="00D96854">
        <w:rPr>
          <w:rFonts w:ascii="新細明體" w:eastAsia="新細明體" w:hAnsi="新細明體" w:hint="eastAsia"/>
          <w:sz w:val="24"/>
          <w:szCs w:val="24"/>
        </w:rPr>
        <w:t>（</w:t>
      </w:r>
      <w:r w:rsidRPr="00D96854">
        <w:rPr>
          <w:rFonts w:ascii="新細明體" w:eastAsia="新細明體" w:hAnsi="新細明體"/>
          <w:sz w:val="24"/>
          <w:szCs w:val="24"/>
        </w:rPr>
        <w:t>4</w:t>
      </w:r>
      <w:r w:rsidRPr="00D96854">
        <w:rPr>
          <w:rFonts w:ascii="新細明體" w:eastAsia="新細明體" w:hAnsi="新細明體" w:hint="eastAsia"/>
          <w:sz w:val="24"/>
          <w:szCs w:val="24"/>
        </w:rPr>
        <w:t>）有特殊情況者由「</w:t>
      </w:r>
      <w:r>
        <w:rPr>
          <w:rFonts w:ascii="新細明體" w:hAnsi="新細明體" w:hint="eastAsia"/>
          <w:color w:val="C00000"/>
        </w:rPr>
        <w:t>教評會</w:t>
      </w:r>
      <w:r w:rsidRPr="00D96854">
        <w:rPr>
          <w:rFonts w:ascii="新細明體" w:eastAsia="新細明體" w:hAnsi="新細明體" w:hint="eastAsia"/>
          <w:sz w:val="24"/>
          <w:szCs w:val="24"/>
        </w:rPr>
        <w:t>」決定之。</w:t>
      </w: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  <w:r>
        <w:rPr>
          <w:rFonts w:ascii="新細明體" w:hAnsi="新細明體" w:hint="eastAsia"/>
        </w:rPr>
        <w:t>四</w:t>
      </w:r>
      <w:r w:rsidRPr="00D96854">
        <w:rPr>
          <w:rFonts w:ascii="新細明體" w:hAnsi="新細明體" w:hint="eastAsia"/>
        </w:rPr>
        <w:t>、本處理原則經本校校務會議通過後實施，修正時亦同。</w:t>
      </w: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  <w:r>
        <w:rPr>
          <w:rFonts w:ascii="新細明體"/>
        </w:rPr>
        <w:br w:type="page"/>
      </w:r>
    </w:p>
    <w:p w:rsidR="00742714" w:rsidRDefault="00742714" w:rsidP="009F3BAA">
      <w:pPr>
        <w:spacing w:line="400" w:lineRule="exact"/>
        <w:jc w:val="both"/>
        <w:rPr>
          <w:rFonts w:eastAsia="標楷體"/>
          <w:sz w:val="32"/>
          <w:szCs w:val="32"/>
        </w:rPr>
      </w:pPr>
    </w:p>
    <w:p w:rsidR="00742714" w:rsidRDefault="00742714" w:rsidP="009F3BAA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附件一</w:t>
      </w:r>
    </w:p>
    <w:p w:rsidR="00742714" w:rsidRDefault="00742714" w:rsidP="009F3BAA">
      <w:pPr>
        <w:spacing w:line="400" w:lineRule="exact"/>
        <w:jc w:val="both"/>
        <w:rPr>
          <w:rFonts w:eastAsia="標楷體"/>
          <w:sz w:val="32"/>
          <w:szCs w:val="32"/>
        </w:rPr>
      </w:pPr>
    </w:p>
    <w:p w:rsidR="00742714" w:rsidRDefault="00742714" w:rsidP="009F3BAA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臺南市立關廟國民中學「</w:t>
      </w:r>
      <w:r w:rsidRPr="00423997">
        <w:rPr>
          <w:rFonts w:eastAsia="標楷體" w:hint="eastAsia"/>
          <w:sz w:val="32"/>
          <w:szCs w:val="32"/>
        </w:rPr>
        <w:t>減班超額教師計算原則</w:t>
      </w:r>
      <w:r>
        <w:rPr>
          <w:rFonts w:eastAsia="標楷體" w:hint="eastAsia"/>
          <w:sz w:val="32"/>
          <w:szCs w:val="32"/>
        </w:rPr>
        <w:t>」</w:t>
      </w:r>
      <w:r>
        <w:rPr>
          <w:rFonts w:eastAsia="標楷體"/>
          <w:sz w:val="32"/>
          <w:szCs w:val="32"/>
        </w:rPr>
        <w:t xml:space="preserve">       </w:t>
      </w:r>
    </w:p>
    <w:p w:rsidR="00742714" w:rsidRDefault="00742714" w:rsidP="009F3BAA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106.2.10</w:t>
      </w:r>
      <w:r>
        <w:rPr>
          <w:rFonts w:eastAsia="標楷體" w:hint="eastAsia"/>
          <w:sz w:val="32"/>
          <w:szCs w:val="32"/>
        </w:rPr>
        <w:t>校務會議通過</w:t>
      </w:r>
    </w:p>
    <w:p w:rsidR="00742714" w:rsidRDefault="00742714" w:rsidP="009F3BAA">
      <w:pPr>
        <w:spacing w:line="400" w:lineRule="exact"/>
        <w:jc w:val="both"/>
        <w:rPr>
          <w:rFonts w:eastAsia="標楷體"/>
          <w:sz w:val="32"/>
          <w:szCs w:val="32"/>
        </w:rPr>
      </w:pPr>
    </w:p>
    <w:p w:rsidR="00742714" w:rsidRPr="0039060A" w:rsidRDefault="00742714" w:rsidP="009F3BA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9060A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</w:t>
      </w:r>
      <w:r w:rsidRPr="0039060A">
        <w:rPr>
          <w:rFonts w:ascii="標楷體" w:eastAsia="標楷體" w:hAnsi="標楷體" w:hint="eastAsia"/>
          <w:sz w:val="28"/>
          <w:szCs w:val="28"/>
        </w:rPr>
        <w:t>本校減班超額教師處理原則第三點第三項規定訂定核算要點。</w:t>
      </w:r>
    </w:p>
    <w:p w:rsidR="00742714" w:rsidRPr="004D1AFB" w:rsidRDefault="00742714" w:rsidP="009F3BAA">
      <w:pPr>
        <w:snapToGrid w:val="0"/>
        <w:ind w:left="599" w:hangingChars="214" w:hanging="59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、依據</w:t>
      </w:r>
      <w:r>
        <w:rPr>
          <w:rFonts w:ascii="標楷體" w:eastAsia="標楷體" w:hAnsi="標楷體" w:hint="eastAsia"/>
          <w:bCs/>
          <w:sz w:val="28"/>
          <w:szCs w:val="28"/>
        </w:rPr>
        <w:t>次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Cs/>
          <w:sz w:val="28"/>
          <w:szCs w:val="28"/>
        </w:rPr>
        <w:t>預估班級數和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課程學習節數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不納入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彈性節數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8676B9">
        <w:rPr>
          <w:rFonts w:ascii="標楷體" w:eastAsia="標楷體" w:hAnsi="標楷體" w:hint="eastAsia"/>
          <w:bCs/>
          <w:sz w:val="28"/>
          <w:szCs w:val="28"/>
        </w:rPr>
        <w:t>不納入教師職務考量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後計算。</w:t>
      </w:r>
    </w:p>
    <w:p w:rsidR="00742714" w:rsidRPr="004D1AFB" w:rsidRDefault="00742714" w:rsidP="009F3BAA">
      <w:pPr>
        <w:snapToGrid w:val="0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、</w:t>
      </w:r>
      <w:r w:rsidRPr="004D1AFB">
        <w:rPr>
          <w:rFonts w:ascii="標楷體" w:eastAsia="標楷體" w:hAnsi="標楷體" w:hint="eastAsia"/>
          <w:sz w:val="28"/>
          <w:szCs w:val="28"/>
        </w:rPr>
        <w:t>所需教師數</w:t>
      </w:r>
      <w:r w:rsidRPr="004D1AFB">
        <w:rPr>
          <w:rFonts w:ascii="標楷體" w:eastAsia="標楷體" w:hAnsi="標楷體"/>
          <w:sz w:val="28"/>
          <w:szCs w:val="28"/>
        </w:rPr>
        <w:t>=</w:t>
      </w:r>
      <w:r w:rsidRPr="004D1AFB">
        <w:rPr>
          <w:rFonts w:ascii="標楷體" w:eastAsia="標楷體" w:hAnsi="標楷體" w:hint="eastAsia"/>
          <w:sz w:val="28"/>
          <w:szCs w:val="28"/>
        </w:rPr>
        <w:t>該科學習節數</w:t>
      </w:r>
      <w:r w:rsidRPr="004D1AFB">
        <w:rPr>
          <w:rFonts w:ascii="標楷體" w:eastAsia="標楷體" w:hAnsi="標楷體"/>
          <w:sz w:val="28"/>
          <w:szCs w:val="28"/>
        </w:rPr>
        <w:t>/</w:t>
      </w:r>
      <w:r w:rsidRPr="004D1AFB">
        <w:rPr>
          <w:rFonts w:ascii="標楷體" w:eastAsia="標楷體" w:hAnsi="標楷體" w:hint="eastAsia"/>
          <w:sz w:val="28"/>
          <w:szCs w:val="28"/>
        </w:rPr>
        <w:t>專任教師基本授課節數。</w:t>
      </w:r>
    </w:p>
    <w:p w:rsidR="00742714" w:rsidRPr="004D1AFB" w:rsidRDefault="00742714" w:rsidP="009F3BAA">
      <w:pPr>
        <w:snapToGrid w:val="0"/>
        <w:ind w:left="599" w:hangingChars="214" w:hanging="59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、</w:t>
      </w:r>
      <w:r w:rsidRPr="004D1AFB">
        <w:rPr>
          <w:rFonts w:ascii="標楷體" w:eastAsia="標楷體" w:hAnsi="標楷體" w:hint="eastAsia"/>
          <w:sz w:val="28"/>
          <w:szCs w:val="28"/>
        </w:rPr>
        <w:t>所需教師比例</w:t>
      </w:r>
      <w:r w:rsidRPr="004D1AFB">
        <w:rPr>
          <w:rFonts w:ascii="標楷體" w:eastAsia="標楷體" w:hAnsi="標楷體"/>
          <w:sz w:val="28"/>
          <w:szCs w:val="28"/>
        </w:rPr>
        <w:t>=</w:t>
      </w:r>
      <w:r w:rsidRPr="004D1AFB">
        <w:rPr>
          <w:rFonts w:ascii="標楷體" w:eastAsia="標楷體" w:hAnsi="標楷體" w:hint="eastAsia"/>
          <w:sz w:val="28"/>
          <w:szCs w:val="28"/>
        </w:rPr>
        <w:t>所需教師數</w:t>
      </w:r>
      <w:r w:rsidRPr="004D1AFB">
        <w:rPr>
          <w:rFonts w:ascii="標楷體" w:eastAsia="標楷體" w:hAnsi="標楷體"/>
          <w:sz w:val="28"/>
          <w:szCs w:val="28"/>
        </w:rPr>
        <w:t>/</w:t>
      </w:r>
      <w:r w:rsidRPr="004D1AFB">
        <w:rPr>
          <w:rFonts w:ascii="標楷體" w:eastAsia="標楷體" w:hAnsi="標楷體" w:hint="eastAsia"/>
          <w:sz w:val="28"/>
          <w:szCs w:val="28"/>
        </w:rPr>
        <w:t>所需教師數總計。</w:t>
      </w:r>
    </w:p>
    <w:p w:rsidR="00742714" w:rsidRPr="004D1AFB" w:rsidRDefault="00742714" w:rsidP="009F3BAA">
      <w:pPr>
        <w:snapToGrid w:val="0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、各領域應有教師數</w:t>
      </w:r>
      <w:r w:rsidRPr="004D1AFB">
        <w:rPr>
          <w:rFonts w:ascii="標楷體" w:eastAsia="標楷體" w:hAnsi="標楷體"/>
          <w:bCs/>
          <w:sz w:val="28"/>
          <w:szCs w:val="28"/>
        </w:rPr>
        <w:t>=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核定總員額×各</w:t>
      </w:r>
      <w:r w:rsidRPr="004D1AFB">
        <w:rPr>
          <w:rFonts w:ascii="標楷體" w:eastAsia="標楷體" w:hAnsi="標楷體" w:hint="eastAsia"/>
          <w:sz w:val="28"/>
          <w:szCs w:val="28"/>
        </w:rPr>
        <w:t>領域所需教師比例。</w:t>
      </w:r>
    </w:p>
    <w:p w:rsidR="00742714" w:rsidRDefault="00742714" w:rsidP="009F3BAA">
      <w:pPr>
        <w:snapToGrid w:val="0"/>
        <w:ind w:left="599" w:hangingChars="214" w:hanging="59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、各領域超額教師人數</w:t>
      </w:r>
      <w:r w:rsidRPr="004D1AFB">
        <w:rPr>
          <w:rFonts w:ascii="標楷體" w:eastAsia="標楷體" w:hAnsi="標楷體"/>
          <w:bCs/>
          <w:sz w:val="28"/>
          <w:szCs w:val="28"/>
        </w:rPr>
        <w:t>=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各領域應有教師數</w:t>
      </w:r>
      <w:r w:rsidRPr="004D1AFB">
        <w:rPr>
          <w:rFonts w:ascii="標楷體" w:eastAsia="標楷體" w:hAnsi="標楷體"/>
          <w:bCs/>
          <w:sz w:val="28"/>
          <w:szCs w:val="28"/>
        </w:rPr>
        <w:t>-</w:t>
      </w:r>
      <w:r w:rsidRPr="004D1AFB">
        <w:rPr>
          <w:rFonts w:ascii="標楷體" w:eastAsia="標楷體" w:hAnsi="標楷體" w:hint="eastAsia"/>
          <w:bCs/>
          <w:sz w:val="28"/>
          <w:szCs w:val="28"/>
        </w:rPr>
        <w:t>現有教師員額。</w:t>
      </w:r>
      <w:r>
        <w:rPr>
          <w:rFonts w:ascii="標楷體" w:eastAsia="標楷體" w:hAnsi="標楷體"/>
          <w:bCs/>
          <w:sz w:val="28"/>
          <w:szCs w:val="28"/>
        </w:rPr>
        <w:br/>
      </w:r>
      <w:r w:rsidRPr="004D1AFB">
        <w:rPr>
          <w:rFonts w:ascii="標楷體" w:eastAsia="標楷體" w:hAnsi="標楷體" w:hint="eastAsia"/>
          <w:bCs/>
          <w:sz w:val="28"/>
          <w:szCs w:val="28"/>
        </w:rPr>
        <w:t>各領域超額教師人數由大到小排序出領域超額序位後，該領域取超額人數排序最高的科別一人超額。</w:t>
      </w:r>
    </w:p>
    <w:p w:rsidR="00742714" w:rsidRDefault="00742714" w:rsidP="009F3BAA">
      <w:pPr>
        <w:snapToGrid w:val="0"/>
        <w:ind w:left="59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Pr="00D979DC">
        <w:rPr>
          <w:rFonts w:ascii="標楷體" w:eastAsia="標楷體" w:hAnsi="標楷體" w:hint="eastAsia"/>
          <w:bCs/>
          <w:sz w:val="28"/>
          <w:szCs w:val="28"/>
        </w:rPr>
        <w:t>、</w:t>
      </w:r>
      <w:r w:rsidRPr="00D979DC">
        <w:rPr>
          <w:rFonts w:ascii="標楷體" w:eastAsia="標楷體" w:hAnsi="標楷體" w:hint="eastAsia"/>
          <w:sz w:val="28"/>
          <w:szCs w:val="28"/>
        </w:rPr>
        <w:t>若各領域</w:t>
      </w:r>
      <w:r w:rsidRPr="00D979DC">
        <w:rPr>
          <w:rFonts w:ascii="標楷體" w:eastAsia="標楷體" w:cs="標楷體" w:hint="eastAsia"/>
          <w:kern w:val="0"/>
          <w:sz w:val="28"/>
          <w:szCs w:val="28"/>
        </w:rPr>
        <w:t>超額教師人數計算結果相同時，由各領域科目超額教師抽籤決定超額序位。</w:t>
      </w:r>
    </w:p>
    <w:p w:rsidR="00742714" w:rsidRPr="00D979DC" w:rsidRDefault="00742714" w:rsidP="009F3BAA">
      <w:pPr>
        <w:snapToGrid w:val="0"/>
        <w:ind w:left="599" w:hangingChars="214" w:hanging="599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D979DC">
        <w:rPr>
          <w:rFonts w:ascii="標楷體" w:eastAsia="標楷體" w:hAnsi="標楷體" w:hint="eastAsia"/>
          <w:bCs/>
          <w:sz w:val="28"/>
          <w:szCs w:val="28"/>
        </w:rPr>
        <w:t>、</w:t>
      </w:r>
      <w:r w:rsidRPr="00D979DC">
        <w:rPr>
          <w:rFonts w:ascii="標楷體" w:eastAsia="標楷體" w:hAnsi="標楷體" w:hint="eastAsia"/>
          <w:sz w:val="28"/>
          <w:szCs w:val="28"/>
        </w:rPr>
        <w:t>若仍有超額教師員額需求，則再次執行前述</w:t>
      </w:r>
      <w:r w:rsidRPr="00D979DC">
        <w:rPr>
          <w:rFonts w:ascii="標楷體" w:eastAsia="標楷體" w:hAnsi="標楷體"/>
          <w:bCs/>
          <w:sz w:val="28"/>
          <w:szCs w:val="28"/>
        </w:rPr>
        <w:t>(</w:t>
      </w:r>
      <w:r w:rsidRPr="00D979DC">
        <w:rPr>
          <w:rFonts w:ascii="標楷體" w:eastAsia="標楷體" w:hAnsi="標楷體" w:hint="eastAsia"/>
          <w:bCs/>
          <w:sz w:val="28"/>
          <w:szCs w:val="28"/>
        </w:rPr>
        <w:t>四</w:t>
      </w:r>
      <w:r w:rsidRPr="00D979DC">
        <w:rPr>
          <w:rFonts w:ascii="標楷體" w:eastAsia="標楷體" w:hAnsi="標楷體"/>
          <w:bCs/>
          <w:sz w:val="28"/>
          <w:szCs w:val="28"/>
        </w:rPr>
        <w:t>)(</w:t>
      </w:r>
      <w:r w:rsidRPr="00D979DC">
        <w:rPr>
          <w:rFonts w:ascii="標楷體" w:eastAsia="標楷體" w:hAnsi="標楷體" w:hint="eastAsia"/>
          <w:bCs/>
          <w:sz w:val="28"/>
          <w:szCs w:val="28"/>
        </w:rPr>
        <w:t>五</w:t>
      </w:r>
      <w:r w:rsidRPr="00D979DC">
        <w:rPr>
          <w:rFonts w:ascii="標楷體" w:eastAsia="標楷體" w:hAnsi="標楷體"/>
          <w:bCs/>
          <w:sz w:val="28"/>
          <w:szCs w:val="28"/>
        </w:rPr>
        <w:t>)</w:t>
      </w:r>
      <w:r w:rsidRPr="00D979DC">
        <w:rPr>
          <w:rFonts w:ascii="標楷體" w:eastAsia="標楷體" w:hAnsi="標楷體" w:hint="eastAsia"/>
          <w:sz w:val="28"/>
          <w:szCs w:val="28"/>
        </w:rPr>
        <w:t>，直至無超額教師員額需求為止。</w:t>
      </w:r>
    </w:p>
    <w:p w:rsidR="00742714" w:rsidRPr="00D979DC" w:rsidRDefault="00742714" w:rsidP="009F3BAA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742714" w:rsidRPr="009F3BAA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p w:rsidR="00742714" w:rsidRDefault="00742714" w:rsidP="002668CE">
      <w:pPr>
        <w:spacing w:line="320" w:lineRule="exact"/>
        <w:ind w:left="720" w:hangingChars="300" w:hanging="720"/>
        <w:rPr>
          <w:rFonts w:ascii="新細明體"/>
        </w:rPr>
      </w:pPr>
    </w:p>
    <w:sectPr w:rsidR="00742714" w:rsidSect="00F728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14" w:rsidRDefault="00742714" w:rsidP="00A77A8C">
      <w:r>
        <w:separator/>
      </w:r>
    </w:p>
  </w:endnote>
  <w:endnote w:type="continuationSeparator" w:id="0">
    <w:p w:rsidR="00742714" w:rsidRDefault="00742714" w:rsidP="00A77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14" w:rsidRDefault="00742714" w:rsidP="00A77A8C">
      <w:r>
        <w:separator/>
      </w:r>
    </w:p>
  </w:footnote>
  <w:footnote w:type="continuationSeparator" w:id="0">
    <w:p w:rsidR="00742714" w:rsidRDefault="00742714" w:rsidP="00A77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CF2"/>
    <w:multiLevelType w:val="hybridMultilevel"/>
    <w:tmpl w:val="FBC8AC88"/>
    <w:lvl w:ilvl="0" w:tplc="8B2EF6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114950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  <w:sz w:val="24"/>
        <w:szCs w:val="24"/>
      </w:rPr>
    </w:lvl>
    <w:lvl w:ilvl="2" w:tplc="A178EB1C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3" w:tplc="D4987A8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66F5C76"/>
    <w:multiLevelType w:val="hybridMultilevel"/>
    <w:tmpl w:val="17D0012A"/>
    <w:lvl w:ilvl="0" w:tplc="CA629F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B726238"/>
    <w:multiLevelType w:val="hybridMultilevel"/>
    <w:tmpl w:val="B7E4171C"/>
    <w:lvl w:ilvl="0" w:tplc="ED94CE6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cs="Times New Roman" w:hint="eastAsia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BF242CD"/>
    <w:multiLevelType w:val="hybridMultilevel"/>
    <w:tmpl w:val="888CE742"/>
    <w:lvl w:ilvl="0" w:tplc="85E62EDE">
      <w:start w:val="1"/>
      <w:numFmt w:val="decimal"/>
      <w:lvlText w:val="（%1）"/>
      <w:lvlJc w:val="left"/>
      <w:pPr>
        <w:tabs>
          <w:tab w:val="num" w:pos="2052"/>
        </w:tabs>
        <w:ind w:left="2052" w:hanging="64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24"/>
        </w:tabs>
        <w:ind w:left="33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4"/>
        </w:tabs>
        <w:ind w:left="52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24"/>
        </w:tabs>
        <w:ind w:left="5724" w:hanging="480"/>
      </w:pPr>
      <w:rPr>
        <w:rFonts w:cs="Times New Roman"/>
      </w:rPr>
    </w:lvl>
  </w:abstractNum>
  <w:abstractNum w:abstractNumId="4">
    <w:nsid w:val="58A62B19"/>
    <w:multiLevelType w:val="hybridMultilevel"/>
    <w:tmpl w:val="37AE7AD6"/>
    <w:lvl w:ilvl="0" w:tplc="11961A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DDCA770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A440919"/>
    <w:multiLevelType w:val="hybridMultilevel"/>
    <w:tmpl w:val="980A2384"/>
    <w:lvl w:ilvl="0" w:tplc="369ECEF2">
      <w:start w:val="1"/>
      <w:numFmt w:val="decimal"/>
      <w:lvlText w:val="（%1）"/>
      <w:lvlJc w:val="left"/>
      <w:pPr>
        <w:tabs>
          <w:tab w:val="num" w:pos="1884"/>
        </w:tabs>
        <w:ind w:left="188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4"/>
        </w:tabs>
        <w:ind w:left="21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4"/>
        </w:tabs>
        <w:ind w:left="35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24"/>
        </w:tabs>
        <w:ind w:left="45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4"/>
        </w:tabs>
        <w:ind w:left="50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84"/>
        </w:tabs>
        <w:ind w:left="5484" w:hanging="480"/>
      </w:pPr>
      <w:rPr>
        <w:rFonts w:cs="Times New Roman"/>
      </w:rPr>
    </w:lvl>
  </w:abstractNum>
  <w:abstractNum w:abstractNumId="6">
    <w:nsid w:val="6B0A1CDE"/>
    <w:multiLevelType w:val="hybridMultilevel"/>
    <w:tmpl w:val="A3B29454"/>
    <w:lvl w:ilvl="0" w:tplc="C18A4C7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0AA6F94"/>
    <w:multiLevelType w:val="hybridMultilevel"/>
    <w:tmpl w:val="1FF42C68"/>
    <w:lvl w:ilvl="0" w:tplc="0BCA9322">
      <w:start w:val="1"/>
      <w:numFmt w:val="decimal"/>
      <w:lvlText w:val="（%1）"/>
      <w:lvlJc w:val="left"/>
      <w:pPr>
        <w:tabs>
          <w:tab w:val="num" w:pos="1779"/>
        </w:tabs>
        <w:ind w:left="1779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9"/>
        </w:tabs>
        <w:ind w:left="20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9"/>
        </w:tabs>
        <w:ind w:left="34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19"/>
        </w:tabs>
        <w:ind w:left="44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9"/>
        </w:tabs>
        <w:ind w:left="48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79"/>
        </w:tabs>
        <w:ind w:left="5379" w:hanging="480"/>
      </w:pPr>
      <w:rPr>
        <w:rFonts w:cs="Times New Roman"/>
      </w:rPr>
    </w:lvl>
  </w:abstractNum>
  <w:abstractNum w:abstractNumId="8">
    <w:nsid w:val="7A6C4546"/>
    <w:multiLevelType w:val="hybridMultilevel"/>
    <w:tmpl w:val="D46CAC96"/>
    <w:lvl w:ilvl="0" w:tplc="1B04C5D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BE07F5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CF60F7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7F74E212">
      <w:start w:val="1"/>
      <w:numFmt w:val="decimalFullWidth"/>
      <w:lvlText w:val="（%4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38"/>
    <w:rsid w:val="001B51A6"/>
    <w:rsid w:val="001B67FE"/>
    <w:rsid w:val="00203219"/>
    <w:rsid w:val="00236B85"/>
    <w:rsid w:val="002378E6"/>
    <w:rsid w:val="002526CB"/>
    <w:rsid w:val="002668CE"/>
    <w:rsid w:val="00285972"/>
    <w:rsid w:val="002C022C"/>
    <w:rsid w:val="002E33E1"/>
    <w:rsid w:val="00312F17"/>
    <w:rsid w:val="00317AB7"/>
    <w:rsid w:val="0039060A"/>
    <w:rsid w:val="00423997"/>
    <w:rsid w:val="004A4DCB"/>
    <w:rsid w:val="004D1AFB"/>
    <w:rsid w:val="005101FF"/>
    <w:rsid w:val="00582C4E"/>
    <w:rsid w:val="0067502C"/>
    <w:rsid w:val="00695855"/>
    <w:rsid w:val="007110E0"/>
    <w:rsid w:val="00742714"/>
    <w:rsid w:val="0078579B"/>
    <w:rsid w:val="00822095"/>
    <w:rsid w:val="00832BD9"/>
    <w:rsid w:val="00865D6E"/>
    <w:rsid w:val="008676B9"/>
    <w:rsid w:val="00880E5F"/>
    <w:rsid w:val="008822C8"/>
    <w:rsid w:val="009008A9"/>
    <w:rsid w:val="0091084F"/>
    <w:rsid w:val="00922FC1"/>
    <w:rsid w:val="009435E5"/>
    <w:rsid w:val="00944859"/>
    <w:rsid w:val="00951C6A"/>
    <w:rsid w:val="009645A5"/>
    <w:rsid w:val="00985807"/>
    <w:rsid w:val="00994404"/>
    <w:rsid w:val="009B3912"/>
    <w:rsid w:val="009C6ECD"/>
    <w:rsid w:val="009D18F8"/>
    <w:rsid w:val="009F3BAA"/>
    <w:rsid w:val="00A0460F"/>
    <w:rsid w:val="00A43A0C"/>
    <w:rsid w:val="00A77A8C"/>
    <w:rsid w:val="00AB4A22"/>
    <w:rsid w:val="00AC24C2"/>
    <w:rsid w:val="00C06B58"/>
    <w:rsid w:val="00C86813"/>
    <w:rsid w:val="00CE5498"/>
    <w:rsid w:val="00D168BA"/>
    <w:rsid w:val="00D768AF"/>
    <w:rsid w:val="00D94738"/>
    <w:rsid w:val="00D96854"/>
    <w:rsid w:val="00D979DC"/>
    <w:rsid w:val="00DA4E90"/>
    <w:rsid w:val="00DD7E2A"/>
    <w:rsid w:val="00E51EA3"/>
    <w:rsid w:val="00E6457C"/>
    <w:rsid w:val="00E779BF"/>
    <w:rsid w:val="00EA4E73"/>
    <w:rsid w:val="00F51605"/>
    <w:rsid w:val="00F53A1A"/>
    <w:rsid w:val="00F62645"/>
    <w:rsid w:val="00F661B6"/>
    <w:rsid w:val="00F7280A"/>
    <w:rsid w:val="00FE73B8"/>
    <w:rsid w:val="00FF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0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7280A"/>
    <w:pPr>
      <w:ind w:left="480"/>
    </w:pPr>
    <w:rPr>
      <w:rFonts w:ascii="標楷體" w:eastAsia="標楷體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3B1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80A"/>
    <w:pPr>
      <w:ind w:left="1164"/>
    </w:pPr>
    <w:rPr>
      <w:rFonts w:ascii="標楷體" w:eastAsia="標楷體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53B1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80A"/>
    <w:pPr>
      <w:spacing w:line="400" w:lineRule="exact"/>
      <w:ind w:left="780" w:hanging="780"/>
    </w:pPr>
    <w:rPr>
      <w:rFonts w:ascii="Book Antiqua" w:eastAsia="標楷體" w:hAnsi="Book Antiqua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53B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A77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7A8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77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7A8C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305</Words>
  <Characters>1740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台南市安平國民小學減班超額教師介聘處理原則</dc:title>
  <dc:subject/>
  <dc:creator>cpa</dc:creator>
  <cp:keywords/>
  <dc:description/>
  <cp:lastModifiedBy>acer</cp:lastModifiedBy>
  <cp:revision>3</cp:revision>
  <cp:lastPrinted>2011-04-25T04:29:00Z</cp:lastPrinted>
  <dcterms:created xsi:type="dcterms:W3CDTF">2017-02-10T08:59:00Z</dcterms:created>
  <dcterms:modified xsi:type="dcterms:W3CDTF">2017-02-12T07:31:00Z</dcterms:modified>
</cp:coreProperties>
</file>