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4E7" w:rsidRDefault="00D264E7" w:rsidP="00D264E7">
      <w:pPr>
        <w:jc w:val="center"/>
        <w:rPr>
          <w:rFonts w:ascii="標楷體" w:eastAsia="標楷體" w:hAnsi="標楷體"/>
          <w:sz w:val="28"/>
          <w:szCs w:val="28"/>
        </w:rPr>
      </w:pPr>
      <w:r>
        <w:rPr>
          <w:rFonts w:ascii="標楷體" w:eastAsia="標楷體" w:hAnsi="標楷體" w:hint="eastAsia"/>
          <w:sz w:val="28"/>
          <w:szCs w:val="28"/>
        </w:rPr>
        <w:t>臺南市立關廟國民中學</w:t>
      </w:r>
      <w:r w:rsidRPr="00D264E7">
        <w:rPr>
          <w:rFonts w:ascii="標楷體" w:eastAsia="標楷體" w:hAnsi="標楷體" w:hint="eastAsia"/>
          <w:sz w:val="28"/>
          <w:szCs w:val="28"/>
        </w:rPr>
        <w:t>減班超額教師處理原則</w:t>
      </w:r>
    </w:p>
    <w:p w:rsidR="00D264E7" w:rsidRPr="00D264E7" w:rsidRDefault="00440FE8" w:rsidP="00D264E7">
      <w:pPr>
        <w:jc w:val="center"/>
        <w:rPr>
          <w:rFonts w:ascii="標楷體" w:eastAsia="標楷體" w:hAnsi="標楷體"/>
          <w:sz w:val="28"/>
          <w:szCs w:val="28"/>
        </w:rPr>
      </w:pPr>
      <w:r>
        <w:rPr>
          <w:rFonts w:ascii="標楷體" w:eastAsia="標楷體" w:hAnsi="標楷體" w:hint="eastAsia"/>
          <w:sz w:val="28"/>
          <w:szCs w:val="28"/>
        </w:rPr>
        <w:t>部分條文修正對照表</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07"/>
        <w:gridCol w:w="3407"/>
        <w:gridCol w:w="3408"/>
      </w:tblGrid>
      <w:tr w:rsidR="00440FE8" w:rsidTr="00440FE8">
        <w:trPr>
          <w:trHeight w:val="386"/>
        </w:trPr>
        <w:tc>
          <w:tcPr>
            <w:tcW w:w="3407" w:type="dxa"/>
          </w:tcPr>
          <w:p w:rsidR="00440FE8" w:rsidRDefault="00440FE8" w:rsidP="00440FE8">
            <w:pPr>
              <w:ind w:right="100"/>
              <w:jc w:val="center"/>
              <w:rPr>
                <w:rFonts w:ascii="標楷體" w:eastAsia="標楷體" w:hAnsi="標楷體"/>
                <w:sz w:val="20"/>
                <w:szCs w:val="20"/>
              </w:rPr>
            </w:pPr>
            <w:r>
              <w:rPr>
                <w:rFonts w:ascii="標楷體" w:eastAsia="標楷體" w:hAnsi="標楷體" w:hint="eastAsia"/>
                <w:sz w:val="20"/>
                <w:szCs w:val="20"/>
              </w:rPr>
              <w:t>修正規定</w:t>
            </w:r>
          </w:p>
        </w:tc>
        <w:tc>
          <w:tcPr>
            <w:tcW w:w="3407" w:type="dxa"/>
          </w:tcPr>
          <w:p w:rsidR="00440FE8" w:rsidRDefault="00440FE8" w:rsidP="00440FE8">
            <w:pPr>
              <w:ind w:right="100"/>
              <w:jc w:val="center"/>
              <w:rPr>
                <w:rFonts w:ascii="標楷體" w:eastAsia="標楷體" w:hAnsi="標楷體"/>
                <w:sz w:val="20"/>
                <w:szCs w:val="20"/>
              </w:rPr>
            </w:pPr>
            <w:r>
              <w:rPr>
                <w:rFonts w:ascii="標楷體" w:eastAsia="標楷體" w:hAnsi="標楷體" w:hint="eastAsia"/>
                <w:sz w:val="20"/>
                <w:szCs w:val="20"/>
              </w:rPr>
              <w:t>現行規定</w:t>
            </w:r>
          </w:p>
        </w:tc>
        <w:tc>
          <w:tcPr>
            <w:tcW w:w="3408" w:type="dxa"/>
          </w:tcPr>
          <w:p w:rsidR="00440FE8" w:rsidRDefault="00440FE8" w:rsidP="00440FE8">
            <w:pPr>
              <w:ind w:right="100"/>
              <w:jc w:val="center"/>
              <w:rPr>
                <w:rFonts w:ascii="標楷體" w:eastAsia="標楷體" w:hAnsi="標楷體"/>
                <w:sz w:val="20"/>
                <w:szCs w:val="20"/>
              </w:rPr>
            </w:pPr>
            <w:r>
              <w:rPr>
                <w:rFonts w:ascii="標楷體" w:eastAsia="標楷體" w:hAnsi="標楷體" w:hint="eastAsia"/>
                <w:sz w:val="20"/>
                <w:szCs w:val="20"/>
              </w:rPr>
              <w:t>說明</w:t>
            </w:r>
          </w:p>
        </w:tc>
      </w:tr>
      <w:tr w:rsidR="00440FE8" w:rsidTr="00A60E68">
        <w:trPr>
          <w:trHeight w:val="2615"/>
        </w:trPr>
        <w:tc>
          <w:tcPr>
            <w:tcW w:w="3407" w:type="dxa"/>
          </w:tcPr>
          <w:p w:rsidR="00440FE8" w:rsidRPr="00440FE8" w:rsidRDefault="00A60E68" w:rsidP="00A60E68">
            <w:pPr>
              <w:ind w:left="400" w:right="102" w:hangingChars="200" w:hanging="400"/>
              <w:rPr>
                <w:rFonts w:ascii="標楷體" w:eastAsia="標楷體" w:hAnsi="標楷體"/>
                <w:sz w:val="20"/>
                <w:szCs w:val="20"/>
              </w:rPr>
            </w:pPr>
            <w:r>
              <w:rPr>
                <w:rFonts w:ascii="標楷體" w:eastAsia="標楷體" w:hAnsi="標楷體" w:hint="eastAsia"/>
                <w:sz w:val="20"/>
                <w:szCs w:val="20"/>
              </w:rPr>
              <w:t>一、</w:t>
            </w:r>
            <w:r w:rsidR="007E2108" w:rsidRPr="00A60E68">
              <w:rPr>
                <w:rFonts w:ascii="標楷體" w:eastAsia="標楷體" w:hAnsi="標楷體" w:hint="eastAsia"/>
                <w:sz w:val="20"/>
                <w:szCs w:val="20"/>
              </w:rPr>
              <w:t>為公平、公正、公開處理本校減班超額教師，依據教師法第15條及「臺南市立</w:t>
            </w:r>
            <w:r w:rsidR="007E2108" w:rsidRPr="00705274">
              <w:rPr>
                <w:rFonts w:ascii="標楷體" w:eastAsia="標楷體" w:hAnsi="標楷體" w:hint="eastAsia"/>
                <w:color w:val="FF0000"/>
                <w:sz w:val="20"/>
                <w:szCs w:val="20"/>
                <w:u w:val="single"/>
                <w:shd w:val="pct15" w:color="auto" w:fill="FFFFFF"/>
              </w:rPr>
              <w:t>高級中等以下學校</w:t>
            </w:r>
            <w:r w:rsidR="007E2108" w:rsidRPr="00A60E68">
              <w:rPr>
                <w:rFonts w:ascii="標楷體" w:eastAsia="標楷體" w:hAnsi="標楷體" w:hint="eastAsia"/>
                <w:sz w:val="20"/>
                <w:szCs w:val="20"/>
              </w:rPr>
              <w:t>暨幼兒園辦理教師介聘甄選分發實施要點</w:t>
            </w:r>
            <w:r w:rsidRPr="00A60E68">
              <w:rPr>
                <w:rFonts w:ascii="標楷體" w:eastAsia="標楷體" w:hAnsi="標楷體" w:hint="eastAsia"/>
                <w:sz w:val="20"/>
                <w:szCs w:val="20"/>
              </w:rPr>
              <w:t>」</w:t>
            </w:r>
            <w:r w:rsidR="007E2108" w:rsidRPr="00A60E68">
              <w:rPr>
                <w:rFonts w:ascii="標楷體" w:eastAsia="標楷體" w:hAnsi="標楷體" w:hint="eastAsia"/>
                <w:sz w:val="20"/>
                <w:szCs w:val="20"/>
              </w:rPr>
              <w:t>（以下簡稱本市介聘甄選分發實施要點）訂定本處理原則。</w:t>
            </w:r>
          </w:p>
        </w:tc>
        <w:tc>
          <w:tcPr>
            <w:tcW w:w="3407" w:type="dxa"/>
          </w:tcPr>
          <w:p w:rsidR="007E2108" w:rsidRPr="007E2108" w:rsidRDefault="007E2108" w:rsidP="007E2108">
            <w:pPr>
              <w:pStyle w:val="a3"/>
              <w:numPr>
                <w:ilvl w:val="0"/>
                <w:numId w:val="3"/>
              </w:numPr>
              <w:ind w:leftChars="0" w:right="100"/>
              <w:rPr>
                <w:rFonts w:ascii="標楷體" w:eastAsia="標楷體" w:hAnsi="標楷體"/>
                <w:sz w:val="20"/>
                <w:szCs w:val="20"/>
              </w:rPr>
            </w:pPr>
            <w:r w:rsidRPr="007E2108">
              <w:rPr>
                <w:rFonts w:ascii="標楷體" w:eastAsia="標楷體" w:hAnsi="標楷體" w:hint="eastAsia"/>
                <w:sz w:val="20"/>
                <w:szCs w:val="20"/>
              </w:rPr>
              <w:t>為公平、公正、公開處理本校減班超額教師，依據教師法第15條及「臺南市立國民中小學暨幼兒園辦理教師介聘甄選分發實施要點」（以下簡稱本市介聘甄選分發實施要點）訂定本處理原則。</w:t>
            </w:r>
          </w:p>
          <w:p w:rsidR="00440FE8" w:rsidRPr="007E2108" w:rsidRDefault="00440FE8" w:rsidP="00440FE8">
            <w:pPr>
              <w:ind w:right="100"/>
              <w:rPr>
                <w:rFonts w:ascii="標楷體" w:eastAsia="標楷體" w:hAnsi="標楷體"/>
                <w:sz w:val="20"/>
                <w:szCs w:val="20"/>
              </w:rPr>
            </w:pPr>
          </w:p>
        </w:tc>
        <w:tc>
          <w:tcPr>
            <w:tcW w:w="3408" w:type="dxa"/>
          </w:tcPr>
          <w:p w:rsidR="00440FE8" w:rsidRDefault="00A60E68" w:rsidP="00440FE8">
            <w:pPr>
              <w:ind w:right="100"/>
              <w:rPr>
                <w:rFonts w:ascii="標楷體" w:eastAsia="標楷體" w:hAnsi="標楷體"/>
                <w:sz w:val="20"/>
                <w:szCs w:val="20"/>
              </w:rPr>
            </w:pPr>
            <w:r>
              <w:rPr>
                <w:rFonts w:ascii="標楷體" w:eastAsia="標楷體" w:hAnsi="標楷體" w:hint="eastAsia"/>
                <w:sz w:val="20"/>
                <w:szCs w:val="20"/>
              </w:rPr>
              <w:t>配合臺南市政府教育局修正</w:t>
            </w:r>
            <w:r w:rsidRPr="007E2108">
              <w:rPr>
                <w:rFonts w:ascii="標楷體" w:eastAsia="標楷體" w:hAnsi="標楷體" w:hint="eastAsia"/>
                <w:sz w:val="20"/>
                <w:szCs w:val="20"/>
              </w:rPr>
              <w:t>「臺南市立</w:t>
            </w:r>
            <w:r w:rsidRPr="003A7425">
              <w:rPr>
                <w:rFonts w:ascii="標楷體" w:eastAsia="標楷體" w:hAnsi="標楷體" w:hint="eastAsia"/>
                <w:sz w:val="20"/>
                <w:szCs w:val="20"/>
              </w:rPr>
              <w:t>高級中等以下學校</w:t>
            </w:r>
            <w:r w:rsidRPr="007E2108">
              <w:rPr>
                <w:rFonts w:ascii="標楷體" w:eastAsia="標楷體" w:hAnsi="標楷體" w:hint="eastAsia"/>
                <w:sz w:val="20"/>
                <w:szCs w:val="20"/>
              </w:rPr>
              <w:t>暨幼兒園辦理教師介聘甄選分發實施要點</w:t>
            </w:r>
            <w:r>
              <w:rPr>
                <w:rFonts w:ascii="標楷體" w:eastAsia="標楷體" w:hAnsi="標楷體" w:hint="eastAsia"/>
                <w:sz w:val="20"/>
                <w:szCs w:val="20"/>
              </w:rPr>
              <w:t>」名稱。</w:t>
            </w:r>
          </w:p>
        </w:tc>
      </w:tr>
      <w:tr w:rsidR="00A60E68" w:rsidTr="003A7425">
        <w:trPr>
          <w:trHeight w:val="3269"/>
        </w:trPr>
        <w:tc>
          <w:tcPr>
            <w:tcW w:w="3407" w:type="dxa"/>
          </w:tcPr>
          <w:p w:rsidR="00A60E68" w:rsidRPr="00A60E68" w:rsidRDefault="00A60E68" w:rsidP="00A60E68">
            <w:pPr>
              <w:ind w:right="100"/>
              <w:rPr>
                <w:rFonts w:ascii="標楷體" w:eastAsia="標楷體" w:hAnsi="標楷體"/>
                <w:sz w:val="20"/>
                <w:szCs w:val="20"/>
              </w:rPr>
            </w:pPr>
            <w:r w:rsidRPr="00A60E68">
              <w:rPr>
                <w:rFonts w:ascii="標楷體" w:eastAsia="標楷體" w:hAnsi="標楷體" w:hint="eastAsia"/>
                <w:sz w:val="20"/>
                <w:szCs w:val="20"/>
              </w:rPr>
              <w:t>三、本校超額教師處理原則：</w:t>
            </w:r>
          </w:p>
          <w:p w:rsidR="00A60E68" w:rsidRPr="00A60E68" w:rsidRDefault="00A60E68" w:rsidP="00A60E68">
            <w:pPr>
              <w:ind w:right="100"/>
              <w:rPr>
                <w:rFonts w:ascii="標楷體" w:eastAsia="標楷體" w:hAnsi="標楷體"/>
                <w:sz w:val="20"/>
                <w:szCs w:val="20"/>
              </w:rPr>
            </w:pPr>
            <w:r w:rsidRPr="00A60E68">
              <w:rPr>
                <w:rFonts w:ascii="標楷體" w:eastAsia="標楷體" w:hAnsi="標楷體" w:hint="eastAsia"/>
                <w:sz w:val="20"/>
                <w:szCs w:val="20"/>
              </w:rPr>
              <w:t>（一）超額人數之計算：</w:t>
            </w:r>
          </w:p>
          <w:p w:rsidR="00A60E68" w:rsidRDefault="00A60E68" w:rsidP="00A60E68">
            <w:pPr>
              <w:pStyle w:val="a3"/>
              <w:ind w:right="100"/>
              <w:rPr>
                <w:rFonts w:ascii="標楷體" w:eastAsia="標楷體" w:hAnsi="標楷體"/>
                <w:sz w:val="20"/>
                <w:szCs w:val="20"/>
              </w:rPr>
            </w:pPr>
            <w:r w:rsidRPr="00A60E68">
              <w:rPr>
                <w:rFonts w:ascii="標楷體" w:eastAsia="標楷體" w:hAnsi="標楷體" w:hint="eastAsia"/>
                <w:sz w:val="20"/>
                <w:szCs w:val="20"/>
              </w:rPr>
              <w:t>1.以</w:t>
            </w:r>
            <w:r w:rsidR="003A7425">
              <w:rPr>
                <w:rFonts w:ascii="標楷體" w:eastAsia="標楷體" w:hAnsi="標楷體" w:hint="eastAsia"/>
                <w:sz w:val="20"/>
                <w:szCs w:val="20"/>
              </w:rPr>
              <w:t>次</w:t>
            </w:r>
            <w:r w:rsidRPr="00A60E68">
              <w:rPr>
                <w:rFonts w:ascii="標楷體" w:eastAsia="標楷體" w:hAnsi="標楷體" w:hint="eastAsia"/>
                <w:sz w:val="20"/>
                <w:szCs w:val="20"/>
              </w:rPr>
              <w:t>學年度預估應有教師數與當學年度現有教師數之差額定之，惟新生未完成編班前，則以市府公告之預估班級數做為估算</w:t>
            </w:r>
            <w:r w:rsidRPr="00F110A7">
              <w:rPr>
                <w:rFonts w:ascii="標楷體" w:eastAsia="標楷體" w:hAnsi="標楷體" w:hint="eastAsia"/>
                <w:color w:val="FF0000"/>
                <w:sz w:val="20"/>
                <w:szCs w:val="20"/>
                <w:u w:val="single"/>
                <w:shd w:val="pct15" w:color="auto" w:fill="FFFFFF"/>
              </w:rPr>
              <w:t>次</w:t>
            </w:r>
            <w:r w:rsidRPr="00A60E68">
              <w:rPr>
                <w:rFonts w:ascii="標楷體" w:eastAsia="標楷體" w:hAnsi="標楷體" w:hint="eastAsia"/>
                <w:sz w:val="20"/>
                <w:szCs w:val="20"/>
              </w:rPr>
              <w:t>學年度應有教師數之基準。普通班、資源班分開計算之。</w:t>
            </w:r>
          </w:p>
        </w:tc>
        <w:tc>
          <w:tcPr>
            <w:tcW w:w="3407" w:type="dxa"/>
          </w:tcPr>
          <w:p w:rsidR="00A60E68" w:rsidRPr="00A60E68" w:rsidRDefault="00A60E68" w:rsidP="00A60E68">
            <w:pPr>
              <w:ind w:right="100"/>
              <w:rPr>
                <w:rFonts w:ascii="標楷體" w:eastAsia="標楷體" w:hAnsi="標楷體"/>
                <w:sz w:val="20"/>
                <w:szCs w:val="20"/>
              </w:rPr>
            </w:pPr>
            <w:r w:rsidRPr="00A60E68">
              <w:rPr>
                <w:rFonts w:ascii="標楷體" w:eastAsia="標楷體" w:hAnsi="標楷體" w:hint="eastAsia"/>
                <w:sz w:val="20"/>
                <w:szCs w:val="20"/>
              </w:rPr>
              <w:t>三、本校超額教師處理原則：</w:t>
            </w:r>
          </w:p>
          <w:p w:rsidR="00A60E68" w:rsidRPr="00A60E68" w:rsidRDefault="00A60E68" w:rsidP="00A60E68">
            <w:pPr>
              <w:ind w:right="100"/>
              <w:rPr>
                <w:rFonts w:ascii="標楷體" w:eastAsia="標楷體" w:hAnsi="標楷體"/>
                <w:sz w:val="20"/>
                <w:szCs w:val="20"/>
              </w:rPr>
            </w:pPr>
            <w:r w:rsidRPr="00A60E68">
              <w:rPr>
                <w:rFonts w:ascii="標楷體" w:eastAsia="標楷體" w:hAnsi="標楷體" w:hint="eastAsia"/>
                <w:sz w:val="20"/>
                <w:szCs w:val="20"/>
              </w:rPr>
              <w:t>（一）超額人數之計算：</w:t>
            </w:r>
          </w:p>
          <w:p w:rsidR="00A60E68" w:rsidRPr="007E2108" w:rsidRDefault="00A60E68" w:rsidP="003A7425">
            <w:pPr>
              <w:pStyle w:val="a3"/>
              <w:ind w:right="100"/>
              <w:rPr>
                <w:rFonts w:ascii="標楷體" w:eastAsia="標楷體" w:hAnsi="標楷體"/>
                <w:sz w:val="20"/>
                <w:szCs w:val="20"/>
              </w:rPr>
            </w:pPr>
            <w:r w:rsidRPr="00A60E68">
              <w:rPr>
                <w:rFonts w:ascii="標楷體" w:eastAsia="標楷體" w:hAnsi="標楷體" w:hint="eastAsia"/>
                <w:sz w:val="20"/>
                <w:szCs w:val="20"/>
              </w:rPr>
              <w:t>1.以</w:t>
            </w:r>
            <w:r w:rsidR="003A7425">
              <w:rPr>
                <w:rFonts w:ascii="標楷體" w:eastAsia="標楷體" w:hAnsi="標楷體" w:hint="eastAsia"/>
                <w:sz w:val="20"/>
                <w:szCs w:val="20"/>
              </w:rPr>
              <w:t>下</w:t>
            </w:r>
            <w:r w:rsidRPr="00A60E68">
              <w:rPr>
                <w:rFonts w:ascii="標楷體" w:eastAsia="標楷體" w:hAnsi="標楷體" w:hint="eastAsia"/>
                <w:sz w:val="20"/>
                <w:szCs w:val="20"/>
              </w:rPr>
              <w:t>學年度應有教師數與當學年度現有教師數之差額定之，惟新生未完成編班前，則以市府公告之預估班級數做為估算</w:t>
            </w:r>
            <w:r w:rsidR="003A7425">
              <w:rPr>
                <w:rFonts w:ascii="標楷體" w:eastAsia="標楷體" w:hAnsi="標楷體" w:hint="eastAsia"/>
                <w:sz w:val="20"/>
                <w:szCs w:val="20"/>
              </w:rPr>
              <w:t>下</w:t>
            </w:r>
            <w:r w:rsidRPr="00A60E68">
              <w:rPr>
                <w:rFonts w:ascii="標楷體" w:eastAsia="標楷體" w:hAnsi="標楷體" w:hint="eastAsia"/>
                <w:sz w:val="20"/>
                <w:szCs w:val="20"/>
              </w:rPr>
              <w:t>學年度應有教師數之基準。普通班、資源班分開計算之。</w:t>
            </w:r>
          </w:p>
        </w:tc>
        <w:tc>
          <w:tcPr>
            <w:tcW w:w="3408" w:type="dxa"/>
          </w:tcPr>
          <w:p w:rsidR="00A60E68" w:rsidRDefault="003A7425" w:rsidP="00440FE8">
            <w:pPr>
              <w:ind w:right="100"/>
              <w:rPr>
                <w:rFonts w:ascii="標楷體" w:eastAsia="標楷體" w:hAnsi="標楷體"/>
                <w:sz w:val="20"/>
                <w:szCs w:val="20"/>
              </w:rPr>
            </w:pPr>
            <w:r>
              <w:rPr>
                <w:rFonts w:ascii="標楷體" w:eastAsia="標楷體" w:hAnsi="標楷體" w:hint="eastAsia"/>
                <w:sz w:val="20"/>
                <w:szCs w:val="20"/>
              </w:rPr>
              <w:t>文字修正</w:t>
            </w:r>
            <w:r w:rsidR="000A7F91">
              <w:rPr>
                <w:rFonts w:ascii="標楷體" w:eastAsia="標楷體" w:hAnsi="標楷體" w:hint="eastAsia"/>
                <w:sz w:val="20"/>
                <w:szCs w:val="20"/>
              </w:rPr>
              <w:t>。</w:t>
            </w:r>
          </w:p>
        </w:tc>
      </w:tr>
      <w:tr w:rsidR="003A7425" w:rsidTr="000A7F91">
        <w:trPr>
          <w:trHeight w:val="3136"/>
        </w:trPr>
        <w:tc>
          <w:tcPr>
            <w:tcW w:w="3407" w:type="dxa"/>
          </w:tcPr>
          <w:p w:rsidR="003A7425" w:rsidRPr="00FD4DB6" w:rsidRDefault="003A7425" w:rsidP="003A7425">
            <w:pPr>
              <w:ind w:left="600" w:right="102" w:hangingChars="300" w:hanging="600"/>
              <w:rPr>
                <w:rFonts w:ascii="標楷體" w:eastAsia="標楷體" w:hAnsi="標楷體"/>
                <w:color w:val="FF0000"/>
                <w:sz w:val="20"/>
                <w:szCs w:val="20"/>
                <w:u w:val="single"/>
                <w:shd w:val="pct15" w:color="auto" w:fill="FFFFFF"/>
              </w:rPr>
            </w:pPr>
            <w:r w:rsidRPr="003A7425">
              <w:rPr>
                <w:rFonts w:ascii="標楷體" w:eastAsia="標楷體" w:hAnsi="標楷體" w:hint="eastAsia"/>
                <w:sz w:val="20"/>
                <w:szCs w:val="20"/>
              </w:rPr>
              <w:t>（三）超額教師之領域科目，由教務處依</w:t>
            </w:r>
            <w:r w:rsidRPr="00F110A7">
              <w:rPr>
                <w:rFonts w:ascii="標楷體" w:eastAsia="標楷體" w:hAnsi="標楷體" w:hint="eastAsia"/>
                <w:color w:val="FF0000"/>
                <w:sz w:val="20"/>
                <w:szCs w:val="20"/>
                <w:u w:val="single"/>
                <w:shd w:val="pct15" w:color="auto" w:fill="FFFFFF"/>
              </w:rPr>
              <w:t>次</w:t>
            </w:r>
            <w:r w:rsidRPr="003A7425">
              <w:rPr>
                <w:rFonts w:ascii="標楷體" w:eastAsia="標楷體" w:hAnsi="標楷體" w:hint="eastAsia"/>
                <w:sz w:val="20"/>
                <w:szCs w:val="20"/>
                <w:u w:val="single"/>
                <w:shd w:val="pct15" w:color="auto" w:fill="FFFFFF"/>
              </w:rPr>
              <w:t>學年度</w:t>
            </w:r>
            <w:r w:rsidRPr="00F110A7">
              <w:rPr>
                <w:rFonts w:ascii="標楷體" w:eastAsia="標楷體" w:hAnsi="標楷體" w:hint="eastAsia"/>
                <w:color w:val="FF0000"/>
                <w:sz w:val="20"/>
                <w:szCs w:val="20"/>
                <w:u w:val="single"/>
                <w:shd w:val="pct15" w:color="auto" w:fill="FFFFFF"/>
              </w:rPr>
              <w:t>預估</w:t>
            </w:r>
            <w:r w:rsidRPr="003A7425">
              <w:rPr>
                <w:rFonts w:ascii="標楷體" w:eastAsia="標楷體" w:hAnsi="標楷體" w:hint="eastAsia"/>
                <w:sz w:val="20"/>
                <w:szCs w:val="20"/>
                <w:u w:val="single"/>
                <w:shd w:val="pct15" w:color="auto" w:fill="FFFFFF"/>
              </w:rPr>
              <w:t>班級數</w:t>
            </w:r>
            <w:r w:rsidRPr="003A7425">
              <w:rPr>
                <w:rFonts w:ascii="標楷體" w:eastAsia="標楷體" w:hAnsi="標楷體" w:hint="eastAsia"/>
                <w:sz w:val="20"/>
                <w:szCs w:val="20"/>
              </w:rPr>
              <w:t>、課務及專長結構核算後排出應超額領域序位，會同領域召集人確認後，送交</w:t>
            </w:r>
            <w:r w:rsidRPr="00FD4DB6">
              <w:rPr>
                <w:rFonts w:ascii="標楷體" w:eastAsia="標楷體" w:hAnsi="標楷體" w:hint="eastAsia"/>
                <w:color w:val="FF0000"/>
                <w:sz w:val="20"/>
                <w:szCs w:val="20"/>
              </w:rPr>
              <w:t>「</w:t>
            </w:r>
            <w:r w:rsidRPr="00FD4DB6">
              <w:rPr>
                <w:rFonts w:ascii="標楷體" w:eastAsia="標楷體" w:hAnsi="標楷體" w:hint="eastAsia"/>
                <w:color w:val="FF0000"/>
                <w:sz w:val="20"/>
                <w:szCs w:val="20"/>
                <w:u w:val="single"/>
                <w:shd w:val="pct15" w:color="auto" w:fill="FFFFFF"/>
              </w:rPr>
              <w:t>教評會</w:t>
            </w:r>
            <w:r w:rsidRPr="003A7425">
              <w:rPr>
                <w:rFonts w:ascii="標楷體" w:eastAsia="標楷體" w:hAnsi="標楷體" w:hint="eastAsia"/>
                <w:sz w:val="20"/>
                <w:szCs w:val="20"/>
              </w:rPr>
              <w:t>」核定後公布之。</w:t>
            </w:r>
            <w:r w:rsidRPr="00FD4DB6">
              <w:rPr>
                <w:rFonts w:ascii="標楷體" w:eastAsia="標楷體" w:hAnsi="標楷體" w:hint="eastAsia"/>
                <w:color w:val="FF0000"/>
                <w:sz w:val="20"/>
                <w:szCs w:val="20"/>
                <w:u w:val="single"/>
                <w:shd w:val="pct15" w:color="auto" w:fill="FFFFFF"/>
              </w:rPr>
              <w:t>減班超額教師計算原則由教務處擬定後經校務會議通過後實施之。</w:t>
            </w:r>
          </w:p>
          <w:p w:rsidR="003A7425" w:rsidRPr="003A7425" w:rsidRDefault="003A7425" w:rsidP="003A7425">
            <w:pPr>
              <w:ind w:right="100"/>
              <w:rPr>
                <w:rFonts w:ascii="標楷體" w:eastAsia="標楷體" w:hAnsi="標楷體"/>
                <w:sz w:val="20"/>
                <w:szCs w:val="20"/>
              </w:rPr>
            </w:pPr>
          </w:p>
        </w:tc>
        <w:tc>
          <w:tcPr>
            <w:tcW w:w="3407" w:type="dxa"/>
          </w:tcPr>
          <w:p w:rsidR="00E0727E" w:rsidRPr="00E0727E" w:rsidRDefault="00E0727E" w:rsidP="00E0727E">
            <w:pPr>
              <w:ind w:left="600" w:right="102" w:hangingChars="300" w:hanging="600"/>
              <w:rPr>
                <w:rFonts w:ascii="標楷體" w:eastAsia="標楷體" w:hAnsi="標楷體"/>
                <w:sz w:val="20"/>
                <w:szCs w:val="20"/>
              </w:rPr>
            </w:pPr>
            <w:r w:rsidRPr="00E0727E">
              <w:rPr>
                <w:rFonts w:ascii="標楷體" w:eastAsia="標楷體" w:hAnsi="標楷體" w:hint="eastAsia"/>
                <w:sz w:val="20"/>
                <w:szCs w:val="20"/>
              </w:rPr>
              <w:t>（三）超額教師之領域科目，由教務處依當學年度班級數、教師職務、課務及專長結構核算後排出應超額領域序位，會同領域召集人確認後，送交「評審小組」核定後公布之。</w:t>
            </w:r>
          </w:p>
          <w:p w:rsidR="003A7425" w:rsidRPr="00E0727E" w:rsidRDefault="003A7425" w:rsidP="00440FE8">
            <w:pPr>
              <w:ind w:right="100"/>
              <w:rPr>
                <w:rFonts w:ascii="標楷體" w:eastAsia="標楷體" w:hAnsi="標楷體"/>
                <w:sz w:val="20"/>
                <w:szCs w:val="20"/>
              </w:rPr>
            </w:pPr>
          </w:p>
        </w:tc>
        <w:tc>
          <w:tcPr>
            <w:tcW w:w="3408" w:type="dxa"/>
          </w:tcPr>
          <w:p w:rsidR="003A7425" w:rsidRDefault="003A7425" w:rsidP="003A7425">
            <w:pPr>
              <w:pStyle w:val="a3"/>
              <w:numPr>
                <w:ilvl w:val="0"/>
                <w:numId w:val="4"/>
              </w:numPr>
              <w:ind w:leftChars="0" w:right="100"/>
              <w:rPr>
                <w:rFonts w:ascii="標楷體" w:eastAsia="標楷體" w:hAnsi="標楷體"/>
                <w:sz w:val="20"/>
                <w:szCs w:val="20"/>
              </w:rPr>
            </w:pPr>
            <w:r w:rsidRPr="003A7425">
              <w:rPr>
                <w:rFonts w:ascii="標楷體" w:eastAsia="標楷體" w:hAnsi="標楷體" w:hint="eastAsia"/>
                <w:sz w:val="20"/>
                <w:szCs w:val="20"/>
              </w:rPr>
              <w:t>文字修正</w:t>
            </w:r>
            <w:r w:rsidR="000A7F91">
              <w:rPr>
                <w:rFonts w:ascii="標楷體" w:eastAsia="標楷體" w:hAnsi="標楷體" w:hint="eastAsia"/>
                <w:sz w:val="20"/>
                <w:szCs w:val="20"/>
              </w:rPr>
              <w:t>。</w:t>
            </w:r>
          </w:p>
          <w:p w:rsidR="003A7425" w:rsidRDefault="003A7425" w:rsidP="003A7425">
            <w:pPr>
              <w:pStyle w:val="a3"/>
              <w:numPr>
                <w:ilvl w:val="0"/>
                <w:numId w:val="4"/>
              </w:numPr>
              <w:ind w:leftChars="0" w:right="100"/>
              <w:rPr>
                <w:rFonts w:ascii="標楷體" w:eastAsia="標楷體" w:hAnsi="標楷體"/>
                <w:sz w:val="20"/>
                <w:szCs w:val="20"/>
              </w:rPr>
            </w:pPr>
            <w:r>
              <w:rPr>
                <w:rFonts w:ascii="標楷體" w:eastAsia="標楷體" w:hAnsi="標楷體" w:hint="eastAsia"/>
                <w:sz w:val="20"/>
                <w:szCs w:val="20"/>
              </w:rPr>
              <w:t>由評審小組修正為教評會</w:t>
            </w:r>
            <w:r w:rsidR="000A7F91">
              <w:rPr>
                <w:rFonts w:ascii="標楷體" w:eastAsia="標楷體" w:hAnsi="標楷體" w:hint="eastAsia"/>
                <w:sz w:val="20"/>
                <w:szCs w:val="20"/>
              </w:rPr>
              <w:t>。</w:t>
            </w:r>
          </w:p>
          <w:p w:rsidR="003A7425" w:rsidRPr="003A7425" w:rsidRDefault="000A7F91" w:rsidP="003A7425">
            <w:pPr>
              <w:pStyle w:val="a3"/>
              <w:numPr>
                <w:ilvl w:val="0"/>
                <w:numId w:val="4"/>
              </w:numPr>
              <w:ind w:leftChars="0" w:right="100"/>
              <w:rPr>
                <w:rFonts w:ascii="標楷體" w:eastAsia="標楷體" w:hAnsi="標楷體"/>
                <w:sz w:val="20"/>
                <w:szCs w:val="20"/>
              </w:rPr>
            </w:pPr>
            <w:r>
              <w:rPr>
                <w:rFonts w:ascii="標楷體" w:eastAsia="標楷體" w:hAnsi="標楷體" w:hint="eastAsia"/>
                <w:sz w:val="20"/>
                <w:szCs w:val="20"/>
              </w:rPr>
              <w:t>為增訂本校減班超額教師計算原則，</w:t>
            </w:r>
            <w:r w:rsidR="0097796E">
              <w:rPr>
                <w:rFonts w:ascii="標楷體" w:eastAsia="標楷體" w:hAnsi="標楷體" w:hint="eastAsia"/>
                <w:sz w:val="20"/>
                <w:szCs w:val="20"/>
              </w:rPr>
              <w:t>增訂</w:t>
            </w:r>
            <w:r>
              <w:rPr>
                <w:rFonts w:ascii="標楷體" w:eastAsia="標楷體" w:hAnsi="標楷體" w:hint="eastAsia"/>
                <w:sz w:val="20"/>
                <w:szCs w:val="20"/>
              </w:rPr>
              <w:t>由</w:t>
            </w:r>
            <w:r w:rsidR="003A7425">
              <w:rPr>
                <w:rFonts w:ascii="標楷體" w:eastAsia="標楷體" w:hAnsi="標楷體" w:hint="eastAsia"/>
                <w:sz w:val="20"/>
                <w:szCs w:val="20"/>
              </w:rPr>
              <w:t>教務處</w:t>
            </w:r>
            <w:r>
              <w:rPr>
                <w:rFonts w:ascii="標楷體" w:eastAsia="標楷體" w:hAnsi="標楷體" w:hint="eastAsia"/>
                <w:sz w:val="20"/>
                <w:szCs w:val="20"/>
              </w:rPr>
              <w:t>擬定後經校務會議通過後實施。</w:t>
            </w:r>
          </w:p>
          <w:p w:rsidR="003A7425" w:rsidRPr="003A7425" w:rsidRDefault="003A7425" w:rsidP="003A7425">
            <w:pPr>
              <w:ind w:right="100"/>
              <w:rPr>
                <w:rFonts w:ascii="標楷體" w:eastAsia="標楷體" w:hAnsi="標楷體"/>
                <w:sz w:val="20"/>
                <w:szCs w:val="20"/>
              </w:rPr>
            </w:pPr>
          </w:p>
        </w:tc>
      </w:tr>
      <w:tr w:rsidR="000A7F91" w:rsidTr="00440FE8">
        <w:trPr>
          <w:trHeight w:val="4557"/>
        </w:trPr>
        <w:tc>
          <w:tcPr>
            <w:tcW w:w="3407" w:type="dxa"/>
          </w:tcPr>
          <w:p w:rsidR="009750A1" w:rsidRPr="009750A1" w:rsidRDefault="009750A1" w:rsidP="009750A1">
            <w:pPr>
              <w:ind w:left="500" w:right="102" w:hangingChars="250" w:hanging="500"/>
              <w:rPr>
                <w:rFonts w:ascii="標楷體" w:eastAsia="標楷體" w:hAnsi="標楷體"/>
                <w:sz w:val="20"/>
                <w:szCs w:val="20"/>
              </w:rPr>
            </w:pPr>
            <w:r w:rsidRPr="009750A1">
              <w:rPr>
                <w:rFonts w:ascii="標楷體" w:eastAsia="標楷體" w:hAnsi="標楷體" w:hint="eastAsia"/>
                <w:sz w:val="20"/>
                <w:szCs w:val="20"/>
              </w:rPr>
              <w:t>（2）任教超額領域科目之教師，無志願調出者，以在本校服務年資最淺者為優先（在本校留職停薪之年資應予扣除），年資相同時以抽籤決定之，惟排除</w:t>
            </w:r>
            <w:r w:rsidRPr="00705274">
              <w:rPr>
                <w:rFonts w:ascii="標楷體" w:eastAsia="標楷體" w:hAnsi="標楷體" w:hint="eastAsia"/>
                <w:color w:val="FF0000"/>
                <w:sz w:val="20"/>
                <w:szCs w:val="20"/>
                <w:u w:val="single"/>
                <w:shd w:val="pct15" w:color="auto" w:fill="FFFFFF"/>
              </w:rPr>
              <w:t>當學年度接任且次學年度續</w:t>
            </w:r>
            <w:r w:rsidRPr="009750A1">
              <w:rPr>
                <w:rFonts w:ascii="標楷體" w:eastAsia="標楷體" w:hAnsi="標楷體" w:hint="eastAsia"/>
                <w:sz w:val="20"/>
                <w:szCs w:val="20"/>
              </w:rPr>
              <w:t>兼任各處室主任、生教組長及教學組長。</w:t>
            </w:r>
          </w:p>
          <w:p w:rsidR="000A7F91" w:rsidRDefault="000A7F91" w:rsidP="003A7425">
            <w:pPr>
              <w:ind w:right="100"/>
              <w:rPr>
                <w:rFonts w:ascii="標楷體" w:eastAsia="標楷體" w:hAnsi="標楷體"/>
                <w:sz w:val="20"/>
                <w:szCs w:val="20"/>
              </w:rPr>
            </w:pPr>
          </w:p>
          <w:p w:rsidR="00331878" w:rsidRDefault="00331878" w:rsidP="003A7425">
            <w:pPr>
              <w:ind w:right="100"/>
              <w:rPr>
                <w:rFonts w:ascii="標楷體" w:eastAsia="標楷體" w:hAnsi="標楷體"/>
                <w:sz w:val="20"/>
                <w:szCs w:val="20"/>
              </w:rPr>
            </w:pPr>
          </w:p>
          <w:p w:rsidR="00331878" w:rsidRDefault="00331878" w:rsidP="003A7425">
            <w:pPr>
              <w:ind w:right="100"/>
              <w:rPr>
                <w:rFonts w:ascii="標楷體" w:eastAsia="標楷體" w:hAnsi="標楷體"/>
                <w:sz w:val="20"/>
                <w:szCs w:val="20"/>
              </w:rPr>
            </w:pPr>
          </w:p>
          <w:p w:rsidR="00331878" w:rsidRDefault="00331878" w:rsidP="003A7425">
            <w:pPr>
              <w:ind w:right="100"/>
              <w:rPr>
                <w:rFonts w:ascii="標楷體" w:eastAsia="標楷體" w:hAnsi="標楷體"/>
                <w:sz w:val="20"/>
                <w:szCs w:val="20"/>
              </w:rPr>
            </w:pPr>
          </w:p>
          <w:p w:rsidR="00331878" w:rsidRDefault="00331878" w:rsidP="003A7425">
            <w:pPr>
              <w:ind w:right="100"/>
              <w:rPr>
                <w:rFonts w:ascii="標楷體" w:eastAsia="標楷體" w:hAnsi="標楷體"/>
                <w:sz w:val="20"/>
                <w:szCs w:val="20"/>
              </w:rPr>
            </w:pPr>
          </w:p>
          <w:p w:rsidR="00331878" w:rsidRPr="00331878" w:rsidRDefault="00331878" w:rsidP="003A7425">
            <w:pPr>
              <w:ind w:right="100"/>
              <w:rPr>
                <w:rFonts w:ascii="標楷體" w:eastAsia="標楷體" w:hAnsi="標楷體"/>
                <w:sz w:val="20"/>
                <w:szCs w:val="20"/>
              </w:rPr>
            </w:pPr>
          </w:p>
        </w:tc>
        <w:tc>
          <w:tcPr>
            <w:tcW w:w="3407" w:type="dxa"/>
          </w:tcPr>
          <w:p w:rsidR="009750A1" w:rsidRPr="009750A1" w:rsidRDefault="009750A1" w:rsidP="009750A1">
            <w:pPr>
              <w:ind w:left="500" w:right="102" w:hangingChars="250" w:hanging="500"/>
              <w:rPr>
                <w:rFonts w:ascii="標楷體" w:eastAsia="標楷體" w:hAnsi="標楷體"/>
                <w:sz w:val="20"/>
                <w:szCs w:val="20"/>
              </w:rPr>
            </w:pPr>
            <w:r w:rsidRPr="009750A1">
              <w:rPr>
                <w:rFonts w:ascii="標楷體" w:eastAsia="標楷體" w:hAnsi="標楷體" w:hint="eastAsia"/>
                <w:sz w:val="20"/>
                <w:szCs w:val="20"/>
              </w:rPr>
              <w:t>（2）任教超額領域科目之教師，無志願調出者，以在本校服務年資最淺者為優先（在本校留職停薪之年資應予扣除），年資相同時以抽籤決定之，</w:t>
            </w:r>
            <w:r w:rsidR="000D001B" w:rsidRPr="000D001B">
              <w:rPr>
                <w:rFonts w:ascii="標楷體" w:eastAsia="標楷體" w:hAnsi="標楷體" w:hint="eastAsia"/>
                <w:sz w:val="20"/>
                <w:szCs w:val="20"/>
              </w:rPr>
              <w:t>惟排除兼任各處室主任、生教組長及教學組長。</w:t>
            </w:r>
          </w:p>
          <w:p w:rsidR="000A7F91" w:rsidRPr="009750A1" w:rsidRDefault="000A7F91" w:rsidP="00440FE8">
            <w:pPr>
              <w:ind w:right="100"/>
              <w:rPr>
                <w:rFonts w:ascii="標楷體" w:eastAsia="標楷體" w:hAnsi="標楷體"/>
                <w:sz w:val="20"/>
                <w:szCs w:val="20"/>
              </w:rPr>
            </w:pPr>
          </w:p>
        </w:tc>
        <w:tc>
          <w:tcPr>
            <w:tcW w:w="3408" w:type="dxa"/>
          </w:tcPr>
          <w:p w:rsidR="000A7F91" w:rsidRPr="003A7425" w:rsidRDefault="009750A1" w:rsidP="00950E70">
            <w:pPr>
              <w:ind w:right="100"/>
              <w:rPr>
                <w:rFonts w:ascii="標楷體" w:eastAsia="標楷體" w:hAnsi="標楷體"/>
                <w:sz w:val="20"/>
                <w:szCs w:val="20"/>
              </w:rPr>
            </w:pPr>
            <w:r>
              <w:rPr>
                <w:rFonts w:ascii="標楷體" w:eastAsia="標楷體" w:hAnsi="標楷體" w:hint="eastAsia"/>
                <w:sz w:val="20"/>
                <w:szCs w:val="20"/>
              </w:rPr>
              <w:t>為維持學校行政之穩定</w:t>
            </w:r>
            <w:r w:rsidR="00242FAD">
              <w:rPr>
                <w:rFonts w:ascii="標楷體" w:eastAsia="標楷體" w:hAnsi="標楷體" w:hint="eastAsia"/>
                <w:sz w:val="20"/>
                <w:szCs w:val="20"/>
              </w:rPr>
              <w:t>，</w:t>
            </w:r>
            <w:r>
              <w:rPr>
                <w:rFonts w:ascii="標楷體" w:eastAsia="標楷體" w:hAnsi="標楷體" w:hint="eastAsia"/>
                <w:sz w:val="20"/>
                <w:szCs w:val="20"/>
              </w:rPr>
              <w:t>鼓勵各處室主任</w:t>
            </w:r>
            <w:r w:rsidR="00F110A7">
              <w:rPr>
                <w:rFonts w:ascii="標楷體" w:eastAsia="標楷體" w:hAnsi="標楷體" w:hint="eastAsia"/>
                <w:sz w:val="20"/>
                <w:szCs w:val="20"/>
              </w:rPr>
              <w:t>、</w:t>
            </w:r>
            <w:r w:rsidR="00242FAD" w:rsidRPr="009750A1">
              <w:rPr>
                <w:rFonts w:ascii="標楷體" w:eastAsia="標楷體" w:hAnsi="標楷體" w:hint="eastAsia"/>
                <w:sz w:val="20"/>
                <w:szCs w:val="20"/>
              </w:rPr>
              <w:t>生教組長及教學組長</w:t>
            </w:r>
            <w:r>
              <w:rPr>
                <w:rFonts w:ascii="標楷體" w:eastAsia="標楷體" w:hAnsi="標楷體" w:hint="eastAsia"/>
                <w:sz w:val="20"/>
                <w:szCs w:val="20"/>
              </w:rPr>
              <w:t>久任，</w:t>
            </w:r>
            <w:r w:rsidR="00F110A7">
              <w:rPr>
                <w:rFonts w:ascii="標楷體" w:eastAsia="標楷體" w:hAnsi="標楷體" w:hint="eastAsia"/>
                <w:sz w:val="20"/>
                <w:szCs w:val="20"/>
              </w:rPr>
              <w:t>獎勵其</w:t>
            </w:r>
            <w:r w:rsidR="00242FAD">
              <w:rPr>
                <w:rFonts w:ascii="標楷體" w:eastAsia="標楷體" w:hAnsi="標楷體" w:hint="eastAsia"/>
                <w:sz w:val="20"/>
                <w:szCs w:val="20"/>
              </w:rPr>
              <w:t>工作之辛勞，於決定本校超額教師時排除</w:t>
            </w:r>
            <w:r w:rsidR="00950E70" w:rsidRPr="00950E70">
              <w:rPr>
                <w:rFonts w:ascii="標楷體" w:eastAsia="標楷體" w:hAnsi="標楷體" w:hint="eastAsia"/>
                <w:sz w:val="20"/>
                <w:szCs w:val="20"/>
              </w:rPr>
              <w:t>當學年度接任且次學年度續兼任</w:t>
            </w:r>
            <w:r w:rsidR="00950E70">
              <w:rPr>
                <w:rFonts w:ascii="標楷體" w:eastAsia="標楷體" w:hAnsi="標楷體" w:hint="eastAsia"/>
                <w:sz w:val="20"/>
                <w:szCs w:val="20"/>
              </w:rPr>
              <w:t>者之適用</w:t>
            </w:r>
            <w:r w:rsidR="00242FAD">
              <w:rPr>
                <w:rFonts w:ascii="標楷體" w:eastAsia="標楷體" w:hAnsi="標楷體" w:hint="eastAsia"/>
                <w:sz w:val="20"/>
                <w:szCs w:val="20"/>
              </w:rPr>
              <w:t>。</w:t>
            </w:r>
          </w:p>
        </w:tc>
      </w:tr>
      <w:tr w:rsidR="00AD7C2B" w:rsidTr="00AD7C2B">
        <w:trPr>
          <w:trHeight w:val="416"/>
        </w:trPr>
        <w:tc>
          <w:tcPr>
            <w:tcW w:w="3407" w:type="dxa"/>
            <w:tcBorders>
              <w:top w:val="single" w:sz="4" w:space="0" w:color="auto"/>
              <w:left w:val="single" w:sz="4" w:space="0" w:color="auto"/>
              <w:bottom w:val="single" w:sz="4" w:space="0" w:color="auto"/>
              <w:right w:val="single" w:sz="4" w:space="0" w:color="auto"/>
            </w:tcBorders>
          </w:tcPr>
          <w:p w:rsidR="00AD7C2B" w:rsidRDefault="00AD7C2B" w:rsidP="00AD7C2B">
            <w:pPr>
              <w:ind w:left="500" w:right="102" w:hangingChars="250" w:hanging="500"/>
              <w:jc w:val="center"/>
              <w:rPr>
                <w:rFonts w:ascii="標楷體" w:eastAsia="標楷體" w:hAnsi="標楷體"/>
                <w:sz w:val="20"/>
                <w:szCs w:val="20"/>
              </w:rPr>
            </w:pPr>
            <w:r>
              <w:rPr>
                <w:rFonts w:ascii="標楷體" w:eastAsia="標楷體" w:hAnsi="標楷體" w:hint="eastAsia"/>
                <w:sz w:val="20"/>
                <w:szCs w:val="20"/>
              </w:rPr>
              <w:lastRenderedPageBreak/>
              <w:t>修正規定</w:t>
            </w:r>
          </w:p>
        </w:tc>
        <w:tc>
          <w:tcPr>
            <w:tcW w:w="3407" w:type="dxa"/>
            <w:tcBorders>
              <w:top w:val="single" w:sz="4" w:space="0" w:color="auto"/>
              <w:left w:val="single" w:sz="4" w:space="0" w:color="auto"/>
              <w:bottom w:val="single" w:sz="4" w:space="0" w:color="auto"/>
              <w:right w:val="single" w:sz="4" w:space="0" w:color="auto"/>
            </w:tcBorders>
          </w:tcPr>
          <w:p w:rsidR="00AD7C2B" w:rsidRDefault="00AD7C2B" w:rsidP="00AD7C2B">
            <w:pPr>
              <w:ind w:left="500" w:right="102" w:hangingChars="250" w:hanging="500"/>
              <w:jc w:val="center"/>
              <w:rPr>
                <w:rFonts w:ascii="標楷體" w:eastAsia="標楷體" w:hAnsi="標楷體"/>
                <w:sz w:val="20"/>
                <w:szCs w:val="20"/>
              </w:rPr>
            </w:pPr>
            <w:r>
              <w:rPr>
                <w:rFonts w:ascii="標楷體" w:eastAsia="標楷體" w:hAnsi="標楷體" w:hint="eastAsia"/>
                <w:sz w:val="20"/>
                <w:szCs w:val="20"/>
              </w:rPr>
              <w:t>現行規定</w:t>
            </w:r>
          </w:p>
        </w:tc>
        <w:tc>
          <w:tcPr>
            <w:tcW w:w="3408" w:type="dxa"/>
            <w:tcBorders>
              <w:top w:val="single" w:sz="4" w:space="0" w:color="auto"/>
              <w:left w:val="single" w:sz="4" w:space="0" w:color="auto"/>
              <w:bottom w:val="single" w:sz="4" w:space="0" w:color="auto"/>
              <w:right w:val="single" w:sz="4" w:space="0" w:color="auto"/>
            </w:tcBorders>
          </w:tcPr>
          <w:p w:rsidR="00AD7C2B" w:rsidRDefault="00AD7C2B" w:rsidP="00AD7C2B">
            <w:pPr>
              <w:ind w:right="100"/>
              <w:jc w:val="center"/>
              <w:rPr>
                <w:rFonts w:ascii="標楷體" w:eastAsia="標楷體" w:hAnsi="標楷體"/>
                <w:sz w:val="20"/>
                <w:szCs w:val="20"/>
              </w:rPr>
            </w:pPr>
            <w:r>
              <w:rPr>
                <w:rFonts w:ascii="標楷體" w:eastAsia="標楷體" w:hAnsi="標楷體" w:hint="eastAsia"/>
                <w:sz w:val="20"/>
                <w:szCs w:val="20"/>
              </w:rPr>
              <w:t>說明</w:t>
            </w:r>
          </w:p>
        </w:tc>
      </w:tr>
      <w:tr w:rsidR="00AD7C2B" w:rsidTr="00F8431F">
        <w:trPr>
          <w:trHeight w:val="982"/>
        </w:trPr>
        <w:tc>
          <w:tcPr>
            <w:tcW w:w="3407" w:type="dxa"/>
            <w:tcBorders>
              <w:top w:val="single" w:sz="4" w:space="0" w:color="auto"/>
              <w:left w:val="single" w:sz="4" w:space="0" w:color="auto"/>
              <w:bottom w:val="single" w:sz="4" w:space="0" w:color="auto"/>
              <w:right w:val="single" w:sz="4" w:space="0" w:color="auto"/>
            </w:tcBorders>
          </w:tcPr>
          <w:p w:rsidR="00AD7C2B" w:rsidRDefault="00AD7C2B" w:rsidP="00AD7C2B">
            <w:pPr>
              <w:ind w:left="500" w:right="102" w:hangingChars="250" w:hanging="500"/>
              <w:rPr>
                <w:rFonts w:ascii="標楷體" w:eastAsia="標楷體" w:hAnsi="標楷體"/>
                <w:sz w:val="20"/>
                <w:szCs w:val="20"/>
              </w:rPr>
            </w:pPr>
            <w:r w:rsidRPr="00AD7C2B">
              <w:rPr>
                <w:rFonts w:ascii="標楷體" w:eastAsia="標楷體" w:hAnsi="標楷體" w:hint="eastAsia"/>
                <w:sz w:val="20"/>
                <w:szCs w:val="20"/>
              </w:rPr>
              <w:t>（4）有特殊情況者由「教評會」決定之。</w:t>
            </w:r>
          </w:p>
          <w:p w:rsidR="00AD7C2B" w:rsidRPr="00AD7C2B" w:rsidRDefault="00AD7C2B" w:rsidP="00AD7C2B">
            <w:pPr>
              <w:ind w:left="500" w:right="102" w:hangingChars="250" w:hanging="500"/>
              <w:rPr>
                <w:rFonts w:ascii="標楷體" w:eastAsia="標楷體" w:hAnsi="標楷體"/>
                <w:sz w:val="20"/>
                <w:szCs w:val="20"/>
              </w:rPr>
            </w:pPr>
          </w:p>
        </w:tc>
        <w:tc>
          <w:tcPr>
            <w:tcW w:w="3407" w:type="dxa"/>
            <w:tcBorders>
              <w:top w:val="single" w:sz="4" w:space="0" w:color="auto"/>
              <w:left w:val="single" w:sz="4" w:space="0" w:color="auto"/>
              <w:bottom w:val="single" w:sz="4" w:space="0" w:color="auto"/>
              <w:right w:val="single" w:sz="4" w:space="0" w:color="auto"/>
            </w:tcBorders>
          </w:tcPr>
          <w:p w:rsidR="00AD7C2B" w:rsidRDefault="00AD7C2B" w:rsidP="00AD7C2B">
            <w:pPr>
              <w:ind w:right="102"/>
              <w:rPr>
                <w:rFonts w:ascii="標楷體" w:eastAsia="標楷體" w:hAnsi="標楷體"/>
                <w:sz w:val="20"/>
                <w:szCs w:val="20"/>
              </w:rPr>
            </w:pPr>
            <w:r w:rsidRPr="00AD7C2B">
              <w:rPr>
                <w:rFonts w:ascii="標楷體" w:eastAsia="標楷體" w:hAnsi="標楷體" w:hint="eastAsia"/>
                <w:sz w:val="20"/>
                <w:szCs w:val="20"/>
              </w:rPr>
              <w:t>（4</w:t>
            </w:r>
            <w:r>
              <w:rPr>
                <w:rFonts w:ascii="標楷體" w:eastAsia="標楷體" w:hAnsi="標楷體" w:hint="eastAsia"/>
                <w:sz w:val="20"/>
                <w:szCs w:val="20"/>
              </w:rPr>
              <w:t>）有特殊情況者由「評審小組</w:t>
            </w:r>
            <w:r w:rsidRPr="00AD7C2B">
              <w:rPr>
                <w:rFonts w:ascii="標楷體" w:eastAsia="標楷體" w:hAnsi="標楷體" w:hint="eastAsia"/>
                <w:sz w:val="20"/>
                <w:szCs w:val="20"/>
              </w:rPr>
              <w:t>」決定之。</w:t>
            </w:r>
          </w:p>
          <w:p w:rsidR="00AD7C2B" w:rsidRPr="00AD7C2B" w:rsidRDefault="00AD7C2B" w:rsidP="00AD7C2B">
            <w:pPr>
              <w:ind w:right="102"/>
              <w:rPr>
                <w:rFonts w:ascii="標楷體" w:eastAsia="標楷體" w:hAnsi="標楷體"/>
                <w:sz w:val="20"/>
                <w:szCs w:val="20"/>
              </w:rPr>
            </w:pPr>
          </w:p>
        </w:tc>
        <w:tc>
          <w:tcPr>
            <w:tcW w:w="3408" w:type="dxa"/>
            <w:tcBorders>
              <w:top w:val="single" w:sz="4" w:space="0" w:color="auto"/>
              <w:left w:val="single" w:sz="4" w:space="0" w:color="auto"/>
              <w:bottom w:val="single" w:sz="4" w:space="0" w:color="auto"/>
              <w:right w:val="single" w:sz="4" w:space="0" w:color="auto"/>
            </w:tcBorders>
          </w:tcPr>
          <w:p w:rsidR="00AD7C2B" w:rsidRDefault="00950E70" w:rsidP="0064608A">
            <w:pPr>
              <w:ind w:right="100"/>
              <w:rPr>
                <w:rFonts w:ascii="標楷體" w:eastAsia="標楷體" w:hAnsi="標楷體"/>
                <w:sz w:val="20"/>
                <w:szCs w:val="20"/>
              </w:rPr>
            </w:pPr>
            <w:r>
              <w:rPr>
                <w:rFonts w:ascii="標楷體" w:eastAsia="標楷體" w:hAnsi="標楷體" w:hint="eastAsia"/>
                <w:sz w:val="20"/>
                <w:szCs w:val="20"/>
              </w:rPr>
              <w:t>文字修正，</w:t>
            </w:r>
            <w:r w:rsidRPr="00950E70">
              <w:rPr>
                <w:rFonts w:ascii="標楷體" w:eastAsia="標楷體" w:hAnsi="標楷體" w:hint="eastAsia"/>
                <w:sz w:val="20"/>
                <w:szCs w:val="20"/>
              </w:rPr>
              <w:t>由評審小組修正為教評會。</w:t>
            </w:r>
          </w:p>
          <w:p w:rsidR="00AD7C2B" w:rsidRDefault="00AD7C2B" w:rsidP="00F8431F">
            <w:pPr>
              <w:ind w:right="100"/>
              <w:rPr>
                <w:rFonts w:ascii="標楷體" w:eastAsia="標楷體" w:hAnsi="標楷體"/>
                <w:sz w:val="20"/>
                <w:szCs w:val="20"/>
              </w:rPr>
            </w:pPr>
          </w:p>
        </w:tc>
      </w:tr>
      <w:tr w:rsidR="00AD7C2B" w:rsidTr="00F8431F">
        <w:trPr>
          <w:trHeight w:val="1734"/>
        </w:trPr>
        <w:tc>
          <w:tcPr>
            <w:tcW w:w="3407" w:type="dxa"/>
            <w:tcBorders>
              <w:top w:val="single" w:sz="4" w:space="0" w:color="auto"/>
              <w:left w:val="single" w:sz="4" w:space="0" w:color="auto"/>
              <w:bottom w:val="single" w:sz="4" w:space="0" w:color="auto"/>
              <w:right w:val="single" w:sz="4" w:space="0" w:color="auto"/>
            </w:tcBorders>
          </w:tcPr>
          <w:p w:rsidR="00F8431F" w:rsidRPr="00F8431F" w:rsidRDefault="00F8431F" w:rsidP="00F8431F">
            <w:pPr>
              <w:ind w:left="500" w:right="102" w:hangingChars="250" w:hanging="500"/>
              <w:rPr>
                <w:rFonts w:ascii="標楷體" w:eastAsia="標楷體" w:hAnsi="標楷體"/>
                <w:b/>
                <w:sz w:val="20"/>
                <w:szCs w:val="20"/>
              </w:rPr>
            </w:pPr>
            <w:r w:rsidRPr="00F8431F">
              <w:rPr>
                <w:rFonts w:ascii="標楷體" w:eastAsia="標楷體" w:hAnsi="標楷體" w:hint="eastAsia"/>
                <w:sz w:val="20"/>
                <w:szCs w:val="20"/>
              </w:rPr>
              <w:t>（八）本市各校若無本校超額領域科目之缺額時，本校應依據本市實施要點之規定，由</w:t>
            </w:r>
            <w:r w:rsidRPr="00705274">
              <w:rPr>
                <w:rFonts w:ascii="標楷體" w:eastAsia="標楷體" w:hAnsi="標楷體" w:hint="eastAsia"/>
                <w:color w:val="FF0000"/>
                <w:sz w:val="20"/>
                <w:szCs w:val="20"/>
                <w:u w:val="single"/>
              </w:rPr>
              <w:t>「教評會」</w:t>
            </w:r>
            <w:r w:rsidRPr="00F8431F">
              <w:rPr>
                <w:rFonts w:ascii="標楷體" w:eastAsia="標楷體" w:hAnsi="標楷體" w:hint="eastAsia"/>
                <w:sz w:val="20"/>
                <w:szCs w:val="20"/>
              </w:rPr>
              <w:t>決定調整符合缺額學校所需之領域科目，並依下列順序遴報：</w:t>
            </w:r>
          </w:p>
          <w:p w:rsidR="00AD7C2B" w:rsidRPr="00F8431F" w:rsidRDefault="00AD7C2B" w:rsidP="00AD7C2B">
            <w:pPr>
              <w:ind w:left="500" w:right="102" w:hangingChars="250" w:hanging="500"/>
              <w:rPr>
                <w:rFonts w:ascii="標楷體" w:eastAsia="標楷體" w:hAnsi="標楷體"/>
                <w:sz w:val="20"/>
                <w:szCs w:val="20"/>
              </w:rPr>
            </w:pPr>
          </w:p>
        </w:tc>
        <w:tc>
          <w:tcPr>
            <w:tcW w:w="3407" w:type="dxa"/>
            <w:tcBorders>
              <w:top w:val="single" w:sz="4" w:space="0" w:color="auto"/>
              <w:left w:val="single" w:sz="4" w:space="0" w:color="auto"/>
              <w:bottom w:val="single" w:sz="4" w:space="0" w:color="auto"/>
              <w:right w:val="single" w:sz="4" w:space="0" w:color="auto"/>
            </w:tcBorders>
          </w:tcPr>
          <w:p w:rsidR="00AD7C2B" w:rsidRPr="00F8431F" w:rsidRDefault="00F8431F" w:rsidP="00AD7C2B">
            <w:pPr>
              <w:ind w:left="500" w:right="102" w:hangingChars="250" w:hanging="500"/>
              <w:rPr>
                <w:rFonts w:ascii="標楷體" w:eastAsia="標楷體" w:hAnsi="標楷體"/>
                <w:sz w:val="20"/>
                <w:szCs w:val="20"/>
              </w:rPr>
            </w:pPr>
            <w:r w:rsidRPr="00F8431F">
              <w:rPr>
                <w:rFonts w:ascii="標楷體" w:eastAsia="標楷體" w:hAnsi="標楷體" w:hint="eastAsia"/>
                <w:sz w:val="20"/>
                <w:szCs w:val="20"/>
              </w:rPr>
              <w:t>（八）本市各校若無本</w:t>
            </w:r>
            <w:r>
              <w:rPr>
                <w:rFonts w:ascii="標楷體" w:eastAsia="標楷體" w:hAnsi="標楷體" w:hint="eastAsia"/>
                <w:sz w:val="20"/>
                <w:szCs w:val="20"/>
              </w:rPr>
              <w:t>校超額領域科目之缺額時，本校應依據本市實施要點之規定，由「評審小組</w:t>
            </w:r>
            <w:r w:rsidRPr="00F8431F">
              <w:rPr>
                <w:rFonts w:ascii="標楷體" w:eastAsia="標楷體" w:hAnsi="標楷體" w:hint="eastAsia"/>
                <w:sz w:val="20"/>
                <w:szCs w:val="20"/>
              </w:rPr>
              <w:t>」決定調整符合缺額學校所需之領域科目，並依下列順序遴報：</w:t>
            </w:r>
          </w:p>
        </w:tc>
        <w:tc>
          <w:tcPr>
            <w:tcW w:w="3408" w:type="dxa"/>
            <w:tcBorders>
              <w:top w:val="single" w:sz="4" w:space="0" w:color="auto"/>
              <w:left w:val="single" w:sz="4" w:space="0" w:color="auto"/>
              <w:bottom w:val="single" w:sz="4" w:space="0" w:color="auto"/>
              <w:right w:val="single" w:sz="4" w:space="0" w:color="auto"/>
            </w:tcBorders>
          </w:tcPr>
          <w:p w:rsidR="00AD7C2B" w:rsidRDefault="00AD7C2B" w:rsidP="00950E70">
            <w:pPr>
              <w:ind w:right="100"/>
              <w:rPr>
                <w:rFonts w:ascii="標楷體" w:eastAsia="標楷體" w:hAnsi="標楷體"/>
                <w:sz w:val="20"/>
                <w:szCs w:val="20"/>
              </w:rPr>
            </w:pPr>
            <w:r>
              <w:rPr>
                <w:rFonts w:ascii="標楷體" w:eastAsia="標楷體" w:hAnsi="標楷體" w:hint="eastAsia"/>
                <w:sz w:val="20"/>
                <w:szCs w:val="20"/>
              </w:rPr>
              <w:t>文字修正</w:t>
            </w:r>
            <w:r w:rsidR="00950E70">
              <w:rPr>
                <w:rFonts w:ascii="標楷體" w:eastAsia="標楷體" w:hAnsi="標楷體" w:hint="eastAsia"/>
                <w:sz w:val="20"/>
                <w:szCs w:val="20"/>
              </w:rPr>
              <w:t>，</w:t>
            </w:r>
            <w:r w:rsidR="00950E70" w:rsidRPr="00950E70">
              <w:rPr>
                <w:rFonts w:ascii="標楷體" w:eastAsia="標楷體" w:hAnsi="標楷體" w:hint="eastAsia"/>
                <w:sz w:val="20"/>
                <w:szCs w:val="20"/>
              </w:rPr>
              <w:t>由評審小組修正為教評會。</w:t>
            </w:r>
          </w:p>
        </w:tc>
      </w:tr>
      <w:tr w:rsidR="000A6B32" w:rsidTr="000A6B32">
        <w:trPr>
          <w:trHeight w:val="2686"/>
        </w:trPr>
        <w:tc>
          <w:tcPr>
            <w:tcW w:w="3407" w:type="dxa"/>
            <w:tcBorders>
              <w:top w:val="single" w:sz="4" w:space="0" w:color="auto"/>
              <w:left w:val="single" w:sz="4" w:space="0" w:color="auto"/>
              <w:bottom w:val="single" w:sz="4" w:space="0" w:color="auto"/>
              <w:right w:val="single" w:sz="4" w:space="0" w:color="auto"/>
            </w:tcBorders>
          </w:tcPr>
          <w:p w:rsidR="000A6B32" w:rsidRPr="003A7425" w:rsidRDefault="000A6B32" w:rsidP="000A6B32">
            <w:pPr>
              <w:ind w:left="500" w:right="102" w:hangingChars="250" w:hanging="500"/>
              <w:rPr>
                <w:rFonts w:ascii="標楷體" w:eastAsia="標楷體" w:hAnsi="標楷體"/>
                <w:sz w:val="20"/>
                <w:szCs w:val="20"/>
              </w:rPr>
            </w:pPr>
            <w:r w:rsidRPr="00F8431F">
              <w:rPr>
                <w:rFonts w:ascii="標楷體" w:eastAsia="標楷體" w:hAnsi="標楷體" w:hint="eastAsia"/>
                <w:sz w:val="20"/>
                <w:szCs w:val="20"/>
              </w:rPr>
              <w:t>（2）任教超額領域科目之教師，無志願調出者，以在本校服務年資最淺者為優先（在本校留職停薪之年資應予扣除），年資相同時以抽籤決定之，惟排除</w:t>
            </w:r>
            <w:r w:rsidRPr="00705274">
              <w:rPr>
                <w:rFonts w:ascii="標楷體" w:eastAsia="標楷體" w:hAnsi="標楷體" w:hint="eastAsia"/>
                <w:color w:val="FF0000"/>
                <w:sz w:val="20"/>
                <w:szCs w:val="20"/>
                <w:u w:val="single"/>
              </w:rPr>
              <w:t>當學年度接任且次學年度續</w:t>
            </w:r>
            <w:r w:rsidRPr="00F8431F">
              <w:rPr>
                <w:rFonts w:ascii="標楷體" w:eastAsia="標楷體" w:hAnsi="標楷體" w:hint="eastAsia"/>
                <w:sz w:val="20"/>
                <w:szCs w:val="20"/>
              </w:rPr>
              <w:t>兼任各處室主任、生教組長及教學組長。</w:t>
            </w:r>
          </w:p>
        </w:tc>
        <w:tc>
          <w:tcPr>
            <w:tcW w:w="3407" w:type="dxa"/>
            <w:tcBorders>
              <w:top w:val="single" w:sz="4" w:space="0" w:color="auto"/>
              <w:left w:val="single" w:sz="4" w:space="0" w:color="auto"/>
              <w:bottom w:val="single" w:sz="4" w:space="0" w:color="auto"/>
              <w:right w:val="single" w:sz="4" w:space="0" w:color="auto"/>
            </w:tcBorders>
          </w:tcPr>
          <w:p w:rsidR="000A6B32" w:rsidRPr="00E0727E" w:rsidRDefault="000A6B32" w:rsidP="000A6B32">
            <w:pPr>
              <w:ind w:left="500" w:right="102" w:hangingChars="250" w:hanging="500"/>
              <w:rPr>
                <w:rFonts w:ascii="標楷體" w:eastAsia="標楷體" w:hAnsi="標楷體"/>
                <w:sz w:val="20"/>
                <w:szCs w:val="20"/>
              </w:rPr>
            </w:pPr>
            <w:r w:rsidRPr="00F8431F">
              <w:rPr>
                <w:rFonts w:ascii="標楷體" w:eastAsia="標楷體" w:hAnsi="標楷體" w:hint="eastAsia"/>
                <w:sz w:val="20"/>
                <w:szCs w:val="20"/>
              </w:rPr>
              <w:t>（2）任教超額領域科目之教師，無志願調出者，以在本校服務年資最淺者為優先（在本校留職停薪之年資應予扣除），年資相同時以抽籤決定之，惟排除當學年度接任且次學年度續兼任各處室主任、生教組長及教學組長。</w:t>
            </w:r>
          </w:p>
        </w:tc>
        <w:tc>
          <w:tcPr>
            <w:tcW w:w="3408" w:type="dxa"/>
            <w:tcBorders>
              <w:top w:val="single" w:sz="4" w:space="0" w:color="auto"/>
              <w:left w:val="single" w:sz="4" w:space="0" w:color="auto"/>
              <w:bottom w:val="single" w:sz="4" w:space="0" w:color="auto"/>
              <w:right w:val="single" w:sz="4" w:space="0" w:color="auto"/>
            </w:tcBorders>
          </w:tcPr>
          <w:p w:rsidR="000A6B32" w:rsidRPr="003A7425" w:rsidRDefault="000A6B32" w:rsidP="000A6B32">
            <w:pPr>
              <w:ind w:right="100"/>
              <w:rPr>
                <w:rFonts w:ascii="標楷體" w:eastAsia="標楷體" w:hAnsi="標楷體"/>
                <w:sz w:val="20"/>
                <w:szCs w:val="20"/>
              </w:rPr>
            </w:pPr>
            <w:r>
              <w:rPr>
                <w:rFonts w:ascii="標楷體" w:eastAsia="標楷體" w:hAnsi="標楷體" w:hint="eastAsia"/>
                <w:sz w:val="20"/>
                <w:szCs w:val="20"/>
              </w:rPr>
              <w:t>為維持學校行政之穩定，鼓勵各處室主任、</w:t>
            </w:r>
            <w:r w:rsidRPr="009750A1">
              <w:rPr>
                <w:rFonts w:ascii="標楷體" w:eastAsia="標楷體" w:hAnsi="標楷體" w:hint="eastAsia"/>
                <w:sz w:val="20"/>
                <w:szCs w:val="20"/>
              </w:rPr>
              <w:t>生教組長及教學組長</w:t>
            </w:r>
            <w:r>
              <w:rPr>
                <w:rFonts w:ascii="標楷體" w:eastAsia="標楷體" w:hAnsi="標楷體" w:hint="eastAsia"/>
                <w:sz w:val="20"/>
                <w:szCs w:val="20"/>
              </w:rPr>
              <w:t>久任，獎勵其工作之辛勞，於決定本校超額教師時排除其適用。</w:t>
            </w:r>
          </w:p>
        </w:tc>
      </w:tr>
      <w:tr w:rsidR="00AD7C2B" w:rsidTr="00AD7C2B">
        <w:trPr>
          <w:trHeight w:val="4557"/>
        </w:trPr>
        <w:tc>
          <w:tcPr>
            <w:tcW w:w="3407" w:type="dxa"/>
            <w:tcBorders>
              <w:top w:val="single" w:sz="4" w:space="0" w:color="auto"/>
              <w:left w:val="single" w:sz="4" w:space="0" w:color="auto"/>
              <w:bottom w:val="single" w:sz="4" w:space="0" w:color="auto"/>
              <w:right w:val="single" w:sz="4" w:space="0" w:color="auto"/>
            </w:tcBorders>
          </w:tcPr>
          <w:p w:rsidR="00705274" w:rsidRPr="00705274" w:rsidRDefault="00705274" w:rsidP="00705274">
            <w:pPr>
              <w:ind w:left="500" w:right="102" w:hangingChars="250" w:hanging="500"/>
              <w:rPr>
                <w:rFonts w:ascii="標楷體" w:eastAsia="標楷體" w:hAnsi="標楷體"/>
                <w:sz w:val="20"/>
                <w:szCs w:val="20"/>
              </w:rPr>
            </w:pPr>
            <w:r w:rsidRPr="00705274">
              <w:rPr>
                <w:rFonts w:ascii="標楷體" w:eastAsia="標楷體" w:hAnsi="標楷體" w:hint="eastAsia"/>
                <w:b/>
                <w:sz w:val="20"/>
                <w:szCs w:val="20"/>
              </w:rPr>
              <w:t>（4）有特殊情況者由</w:t>
            </w:r>
            <w:r w:rsidRPr="00705274">
              <w:rPr>
                <w:rFonts w:ascii="標楷體" w:eastAsia="標楷體" w:hAnsi="標楷體" w:hint="eastAsia"/>
                <w:b/>
                <w:color w:val="FF0000"/>
                <w:sz w:val="20"/>
                <w:szCs w:val="20"/>
                <w:u w:val="single"/>
              </w:rPr>
              <w:t>「教評會」</w:t>
            </w:r>
            <w:r w:rsidRPr="00705274">
              <w:rPr>
                <w:rFonts w:ascii="標楷體" w:eastAsia="標楷體" w:hAnsi="標楷體" w:hint="eastAsia"/>
                <w:b/>
                <w:sz w:val="20"/>
                <w:szCs w:val="20"/>
              </w:rPr>
              <w:t>決定之。</w:t>
            </w:r>
          </w:p>
          <w:p w:rsidR="00705274" w:rsidRDefault="00705274" w:rsidP="00705274">
            <w:pPr>
              <w:ind w:left="500" w:right="102" w:hangingChars="250" w:hanging="500"/>
              <w:rPr>
                <w:rFonts w:ascii="標楷體" w:eastAsia="標楷體" w:hAnsi="標楷體"/>
                <w:sz w:val="20"/>
                <w:szCs w:val="20"/>
              </w:rPr>
            </w:pPr>
          </w:p>
          <w:p w:rsidR="00AD7C2B" w:rsidRPr="00705274" w:rsidRDefault="00AD7C2B" w:rsidP="00AD7C2B">
            <w:pPr>
              <w:ind w:left="500" w:right="102" w:hangingChars="250" w:hanging="500"/>
              <w:rPr>
                <w:rFonts w:ascii="標楷體" w:eastAsia="標楷體" w:hAnsi="標楷體"/>
                <w:sz w:val="20"/>
                <w:szCs w:val="20"/>
              </w:rPr>
            </w:pPr>
          </w:p>
          <w:p w:rsidR="00AD7C2B" w:rsidRDefault="00AD7C2B" w:rsidP="00AD7C2B">
            <w:pPr>
              <w:ind w:left="500" w:right="102" w:hangingChars="250" w:hanging="500"/>
              <w:rPr>
                <w:rFonts w:ascii="標楷體" w:eastAsia="標楷體" w:hAnsi="標楷體"/>
                <w:sz w:val="20"/>
                <w:szCs w:val="20"/>
              </w:rPr>
            </w:pPr>
          </w:p>
          <w:p w:rsidR="00AD7C2B" w:rsidRDefault="00AD7C2B" w:rsidP="00AD7C2B">
            <w:pPr>
              <w:ind w:left="500" w:right="102" w:hangingChars="250" w:hanging="500"/>
              <w:rPr>
                <w:rFonts w:ascii="標楷體" w:eastAsia="標楷體" w:hAnsi="標楷體"/>
                <w:sz w:val="20"/>
                <w:szCs w:val="20"/>
              </w:rPr>
            </w:pPr>
          </w:p>
          <w:p w:rsidR="00AD7C2B" w:rsidRPr="00331878" w:rsidRDefault="00AD7C2B" w:rsidP="00AD7C2B">
            <w:pPr>
              <w:ind w:left="500" w:right="102" w:hangingChars="250" w:hanging="500"/>
              <w:rPr>
                <w:rFonts w:ascii="標楷體" w:eastAsia="標楷體" w:hAnsi="標楷體"/>
                <w:sz w:val="20"/>
                <w:szCs w:val="20"/>
              </w:rPr>
            </w:pPr>
          </w:p>
        </w:tc>
        <w:tc>
          <w:tcPr>
            <w:tcW w:w="3407" w:type="dxa"/>
            <w:tcBorders>
              <w:top w:val="single" w:sz="4" w:space="0" w:color="auto"/>
              <w:left w:val="single" w:sz="4" w:space="0" w:color="auto"/>
              <w:bottom w:val="single" w:sz="4" w:space="0" w:color="auto"/>
              <w:right w:val="single" w:sz="4" w:space="0" w:color="auto"/>
            </w:tcBorders>
          </w:tcPr>
          <w:p w:rsidR="00AD7C2B" w:rsidRPr="009750A1" w:rsidRDefault="00705274" w:rsidP="00AD7C2B">
            <w:pPr>
              <w:ind w:left="500" w:right="102" w:hangingChars="250" w:hanging="500"/>
              <w:rPr>
                <w:rFonts w:ascii="標楷體" w:eastAsia="標楷體" w:hAnsi="標楷體"/>
                <w:sz w:val="20"/>
                <w:szCs w:val="20"/>
              </w:rPr>
            </w:pPr>
            <w:r w:rsidRPr="00705274">
              <w:rPr>
                <w:rFonts w:ascii="標楷體" w:eastAsia="標楷體" w:hAnsi="標楷體" w:hint="eastAsia"/>
                <w:sz w:val="20"/>
                <w:szCs w:val="20"/>
              </w:rPr>
              <w:t>（4</w:t>
            </w:r>
            <w:r>
              <w:rPr>
                <w:rFonts w:ascii="標楷體" w:eastAsia="標楷體" w:hAnsi="標楷體" w:hint="eastAsia"/>
                <w:sz w:val="20"/>
                <w:szCs w:val="20"/>
              </w:rPr>
              <w:t>）有特殊情況者由「評審小組</w:t>
            </w:r>
            <w:r w:rsidRPr="00705274">
              <w:rPr>
                <w:rFonts w:ascii="標楷體" w:eastAsia="標楷體" w:hAnsi="標楷體" w:hint="eastAsia"/>
                <w:sz w:val="20"/>
                <w:szCs w:val="20"/>
              </w:rPr>
              <w:t>」決定之。</w:t>
            </w:r>
          </w:p>
        </w:tc>
        <w:tc>
          <w:tcPr>
            <w:tcW w:w="3408" w:type="dxa"/>
            <w:tcBorders>
              <w:top w:val="single" w:sz="4" w:space="0" w:color="auto"/>
              <w:left w:val="single" w:sz="4" w:space="0" w:color="auto"/>
              <w:bottom w:val="single" w:sz="4" w:space="0" w:color="auto"/>
              <w:right w:val="single" w:sz="4" w:space="0" w:color="auto"/>
            </w:tcBorders>
          </w:tcPr>
          <w:p w:rsidR="00AD7C2B" w:rsidRPr="003A7425" w:rsidRDefault="00950E70" w:rsidP="0064608A">
            <w:pPr>
              <w:ind w:right="100"/>
              <w:rPr>
                <w:rFonts w:ascii="標楷體" w:eastAsia="標楷體" w:hAnsi="標楷體"/>
                <w:sz w:val="20"/>
                <w:szCs w:val="20"/>
              </w:rPr>
            </w:pPr>
            <w:r>
              <w:rPr>
                <w:rFonts w:ascii="標楷體" w:eastAsia="標楷體" w:hAnsi="標楷體" w:hint="eastAsia"/>
                <w:sz w:val="20"/>
                <w:szCs w:val="20"/>
              </w:rPr>
              <w:t>文字修正，</w:t>
            </w:r>
            <w:r w:rsidRPr="00950E70">
              <w:rPr>
                <w:rFonts w:ascii="標楷體" w:eastAsia="標楷體" w:hAnsi="標楷體" w:hint="eastAsia"/>
                <w:sz w:val="20"/>
                <w:szCs w:val="20"/>
              </w:rPr>
              <w:t>由評審小組修正為教評會。</w:t>
            </w:r>
          </w:p>
        </w:tc>
      </w:tr>
    </w:tbl>
    <w:p w:rsidR="00B563C5" w:rsidRDefault="00B563C5" w:rsidP="00D264E7">
      <w:pPr>
        <w:ind w:right="100"/>
        <w:jc w:val="right"/>
        <w:rPr>
          <w:rFonts w:ascii="標楷體" w:eastAsia="標楷體" w:hAnsi="標楷體"/>
          <w:sz w:val="20"/>
          <w:szCs w:val="20"/>
        </w:rPr>
      </w:pPr>
    </w:p>
    <w:p w:rsidR="00CE231F" w:rsidRDefault="00CE231F" w:rsidP="00D264E7">
      <w:pPr>
        <w:ind w:right="100"/>
        <w:jc w:val="right"/>
        <w:rPr>
          <w:rFonts w:ascii="標楷體" w:eastAsia="標楷體" w:hAnsi="標楷體"/>
          <w:sz w:val="20"/>
          <w:szCs w:val="20"/>
        </w:rPr>
      </w:pPr>
    </w:p>
    <w:p w:rsidR="00CE231F" w:rsidRDefault="00CE231F" w:rsidP="00D264E7">
      <w:pPr>
        <w:ind w:right="100"/>
        <w:jc w:val="right"/>
        <w:rPr>
          <w:rFonts w:ascii="標楷體" w:eastAsia="標楷體" w:hAnsi="標楷體"/>
          <w:sz w:val="20"/>
          <w:szCs w:val="20"/>
        </w:rPr>
      </w:pPr>
    </w:p>
    <w:p w:rsidR="00CE231F" w:rsidRDefault="00CE231F" w:rsidP="00D264E7">
      <w:pPr>
        <w:ind w:right="100"/>
        <w:jc w:val="right"/>
        <w:rPr>
          <w:rFonts w:ascii="標楷體" w:eastAsia="標楷體" w:hAnsi="標楷體"/>
          <w:sz w:val="20"/>
          <w:szCs w:val="20"/>
        </w:rPr>
      </w:pPr>
    </w:p>
    <w:p w:rsidR="00CE231F" w:rsidRDefault="00CE231F" w:rsidP="00D264E7">
      <w:pPr>
        <w:ind w:right="100"/>
        <w:jc w:val="right"/>
        <w:rPr>
          <w:rFonts w:ascii="標楷體" w:eastAsia="標楷體" w:hAnsi="標楷體"/>
          <w:sz w:val="20"/>
          <w:szCs w:val="20"/>
        </w:rPr>
      </w:pPr>
    </w:p>
    <w:p w:rsidR="00CE231F" w:rsidRDefault="00CE231F" w:rsidP="00D264E7">
      <w:pPr>
        <w:ind w:right="100"/>
        <w:jc w:val="right"/>
        <w:rPr>
          <w:rFonts w:ascii="標楷體" w:eastAsia="標楷體" w:hAnsi="標楷體"/>
          <w:sz w:val="20"/>
          <w:szCs w:val="20"/>
        </w:rPr>
      </w:pPr>
    </w:p>
    <w:p w:rsidR="00CE231F" w:rsidRDefault="00CE231F" w:rsidP="00D264E7">
      <w:pPr>
        <w:ind w:right="100"/>
        <w:jc w:val="right"/>
        <w:rPr>
          <w:rFonts w:ascii="標楷體" w:eastAsia="標楷體" w:hAnsi="標楷體"/>
          <w:sz w:val="20"/>
          <w:szCs w:val="20"/>
        </w:rPr>
      </w:pPr>
    </w:p>
    <w:p w:rsidR="00CE231F" w:rsidRDefault="00CE231F" w:rsidP="00D264E7">
      <w:pPr>
        <w:ind w:right="100"/>
        <w:jc w:val="right"/>
        <w:rPr>
          <w:rFonts w:ascii="標楷體" w:eastAsia="標楷體" w:hAnsi="標楷體"/>
          <w:sz w:val="20"/>
          <w:szCs w:val="20"/>
        </w:rPr>
      </w:pPr>
    </w:p>
    <w:p w:rsidR="00CE231F" w:rsidRDefault="00CE231F" w:rsidP="00D264E7">
      <w:pPr>
        <w:ind w:right="100"/>
        <w:jc w:val="right"/>
        <w:rPr>
          <w:rFonts w:ascii="標楷體" w:eastAsia="標楷體" w:hAnsi="標楷體"/>
          <w:sz w:val="20"/>
          <w:szCs w:val="20"/>
        </w:rPr>
      </w:pPr>
    </w:p>
    <w:p w:rsidR="00CE231F" w:rsidRDefault="00CE231F" w:rsidP="00D264E7">
      <w:pPr>
        <w:ind w:right="100"/>
        <w:jc w:val="right"/>
        <w:rPr>
          <w:rFonts w:ascii="標楷體" w:eastAsia="標楷體" w:hAnsi="標楷體"/>
          <w:sz w:val="20"/>
          <w:szCs w:val="20"/>
        </w:rPr>
      </w:pPr>
    </w:p>
    <w:p w:rsidR="00CE231F" w:rsidRDefault="00CE231F" w:rsidP="00D264E7">
      <w:pPr>
        <w:ind w:right="100"/>
        <w:jc w:val="right"/>
        <w:rPr>
          <w:rFonts w:ascii="標楷體" w:eastAsia="標楷體" w:hAnsi="標楷體"/>
          <w:sz w:val="20"/>
          <w:szCs w:val="20"/>
        </w:rPr>
      </w:pPr>
    </w:p>
    <w:p w:rsidR="00CE231F" w:rsidRDefault="00CE231F" w:rsidP="00D264E7">
      <w:pPr>
        <w:ind w:right="100"/>
        <w:jc w:val="right"/>
        <w:rPr>
          <w:rFonts w:ascii="標楷體" w:eastAsia="標楷體" w:hAnsi="標楷體"/>
          <w:sz w:val="20"/>
          <w:szCs w:val="20"/>
        </w:rPr>
      </w:pPr>
    </w:p>
    <w:p w:rsidR="00CE231F" w:rsidRDefault="00CE231F" w:rsidP="00D264E7">
      <w:pPr>
        <w:ind w:right="100"/>
        <w:jc w:val="right"/>
        <w:rPr>
          <w:rFonts w:ascii="標楷體" w:eastAsia="標楷體" w:hAnsi="標楷體"/>
          <w:sz w:val="20"/>
          <w:szCs w:val="20"/>
        </w:rPr>
      </w:pPr>
    </w:p>
    <w:p w:rsidR="00CE231F" w:rsidRDefault="00CE231F" w:rsidP="00CE231F">
      <w:pPr>
        <w:pStyle w:val="a3"/>
        <w:ind w:leftChars="0" w:right="100"/>
        <w:jc w:val="center"/>
        <w:rPr>
          <w:rFonts w:ascii="標楷體" w:eastAsia="標楷體" w:hAnsi="標楷體"/>
          <w:sz w:val="36"/>
          <w:szCs w:val="36"/>
        </w:rPr>
      </w:pPr>
      <w:r w:rsidRPr="00CE231F">
        <w:rPr>
          <w:rFonts w:ascii="標楷體" w:eastAsia="標楷體" w:hAnsi="標楷體" w:hint="eastAsia"/>
          <w:sz w:val="36"/>
          <w:szCs w:val="36"/>
        </w:rPr>
        <w:lastRenderedPageBreak/>
        <w:t>修正總說明</w:t>
      </w:r>
    </w:p>
    <w:p w:rsidR="0097796E" w:rsidRPr="006E6ACB" w:rsidRDefault="0097796E" w:rsidP="006E6ACB">
      <w:pPr>
        <w:pStyle w:val="a3"/>
        <w:numPr>
          <w:ilvl w:val="0"/>
          <w:numId w:val="6"/>
        </w:numPr>
        <w:ind w:leftChars="0" w:rightChars="42" w:right="101"/>
        <w:rPr>
          <w:rFonts w:ascii="標楷體" w:eastAsia="標楷體" w:hAnsi="標楷體"/>
          <w:sz w:val="28"/>
          <w:szCs w:val="28"/>
        </w:rPr>
      </w:pPr>
      <w:bookmarkStart w:id="0" w:name="_GoBack"/>
      <w:bookmarkEnd w:id="0"/>
      <w:r w:rsidRPr="006E6ACB">
        <w:rPr>
          <w:rFonts w:ascii="標楷體" w:eastAsia="標楷體" w:hAnsi="標楷體" w:hint="eastAsia"/>
          <w:sz w:val="28"/>
          <w:szCs w:val="28"/>
        </w:rPr>
        <w:t>本處理原則經本校105學年度第2學期期初校務會議通過。</w:t>
      </w:r>
    </w:p>
    <w:p w:rsidR="00CE231F" w:rsidRPr="00FD4DB6" w:rsidRDefault="00CE231F" w:rsidP="00FD4DB6">
      <w:pPr>
        <w:pStyle w:val="a3"/>
        <w:numPr>
          <w:ilvl w:val="0"/>
          <w:numId w:val="6"/>
        </w:numPr>
        <w:ind w:leftChars="0" w:right="100"/>
        <w:rPr>
          <w:rFonts w:ascii="標楷體" w:eastAsia="標楷體" w:hAnsi="標楷體"/>
          <w:sz w:val="28"/>
          <w:szCs w:val="28"/>
        </w:rPr>
      </w:pPr>
      <w:r w:rsidRPr="00FD4DB6">
        <w:rPr>
          <w:rFonts w:ascii="標楷體" w:eastAsia="標楷體" w:hAnsi="標楷體" w:hint="eastAsia"/>
          <w:sz w:val="28"/>
          <w:szCs w:val="28"/>
        </w:rPr>
        <w:t>配合臺南市政府教育局修正公布</w:t>
      </w:r>
      <w:r w:rsidR="00FD4DB6" w:rsidRPr="00FD4DB6">
        <w:rPr>
          <w:rFonts w:ascii="標楷體" w:eastAsia="標楷體" w:hAnsi="標楷體" w:hint="eastAsia"/>
          <w:sz w:val="28"/>
          <w:szCs w:val="28"/>
        </w:rPr>
        <w:t>將「臺南市立國民中小學校暨幼兒園辦理教師介聘甄選分發實施要點」名稱修正為</w:t>
      </w:r>
      <w:r w:rsidRPr="00FD4DB6">
        <w:rPr>
          <w:rFonts w:ascii="標楷體" w:eastAsia="標楷體" w:hAnsi="標楷體" w:hint="eastAsia"/>
          <w:sz w:val="28"/>
          <w:szCs w:val="28"/>
        </w:rPr>
        <w:t>「臺南市立高級中等以下學校暨幼兒園辦理教師介聘甄選分發實施要點」</w:t>
      </w:r>
      <w:r w:rsidR="00FD4DB6" w:rsidRPr="00FD4DB6">
        <w:rPr>
          <w:rFonts w:ascii="標楷體" w:eastAsia="標楷體" w:hAnsi="標楷體" w:hint="eastAsia"/>
          <w:sz w:val="28"/>
          <w:szCs w:val="28"/>
        </w:rPr>
        <w:t>。</w:t>
      </w:r>
    </w:p>
    <w:p w:rsidR="00CE231F" w:rsidRPr="00FD4DB6" w:rsidRDefault="00FD4DB6" w:rsidP="00CE231F">
      <w:pPr>
        <w:pStyle w:val="a3"/>
        <w:numPr>
          <w:ilvl w:val="0"/>
          <w:numId w:val="6"/>
        </w:numPr>
        <w:ind w:leftChars="0" w:right="100"/>
        <w:rPr>
          <w:rFonts w:ascii="標楷體" w:eastAsia="標楷體" w:hAnsi="標楷體"/>
          <w:sz w:val="28"/>
          <w:szCs w:val="28"/>
        </w:rPr>
      </w:pPr>
      <w:r w:rsidRPr="00FD4DB6">
        <w:rPr>
          <w:rFonts w:ascii="標楷體" w:eastAsia="標楷體" w:hAnsi="標楷體" w:hint="eastAsia"/>
          <w:sz w:val="28"/>
          <w:szCs w:val="28"/>
        </w:rPr>
        <w:t>將超額人數之計算由下學年度班級數修正為次學年度預估班級數，以符實際需求。</w:t>
      </w:r>
    </w:p>
    <w:p w:rsidR="00FD4DB6" w:rsidRPr="00FD4DB6" w:rsidRDefault="00FD4DB6" w:rsidP="00CE231F">
      <w:pPr>
        <w:pStyle w:val="a3"/>
        <w:numPr>
          <w:ilvl w:val="0"/>
          <w:numId w:val="6"/>
        </w:numPr>
        <w:ind w:leftChars="0" w:right="100"/>
        <w:rPr>
          <w:rFonts w:ascii="標楷體" w:eastAsia="標楷體" w:hAnsi="標楷體"/>
          <w:sz w:val="28"/>
          <w:szCs w:val="28"/>
        </w:rPr>
      </w:pPr>
      <w:r w:rsidRPr="00FD4DB6">
        <w:rPr>
          <w:rFonts w:ascii="標楷體" w:eastAsia="標楷體" w:hAnsi="標楷體" w:hint="eastAsia"/>
          <w:sz w:val="28"/>
          <w:szCs w:val="28"/>
        </w:rPr>
        <w:t>將</w:t>
      </w:r>
      <w:r>
        <w:rPr>
          <w:rFonts w:ascii="標楷體" w:eastAsia="標楷體" w:hAnsi="標楷體" w:hint="eastAsia"/>
          <w:sz w:val="28"/>
          <w:szCs w:val="28"/>
        </w:rPr>
        <w:t>本處理原則</w:t>
      </w:r>
      <w:r w:rsidR="006E6ACB">
        <w:rPr>
          <w:rFonts w:ascii="標楷體" w:eastAsia="標楷體" w:hAnsi="標楷體" w:hint="eastAsia"/>
          <w:sz w:val="28"/>
          <w:szCs w:val="28"/>
        </w:rPr>
        <w:t>除第一</w:t>
      </w:r>
      <w:r>
        <w:rPr>
          <w:rFonts w:ascii="標楷體" w:eastAsia="標楷體" w:hAnsi="標楷體" w:hint="eastAsia"/>
          <w:sz w:val="28"/>
          <w:szCs w:val="28"/>
        </w:rPr>
        <w:t>條</w:t>
      </w:r>
      <w:r w:rsidR="006E6ACB">
        <w:rPr>
          <w:rFonts w:ascii="標楷體" w:eastAsia="標楷體" w:hAnsi="標楷體" w:hint="eastAsia"/>
          <w:sz w:val="28"/>
          <w:szCs w:val="28"/>
        </w:rPr>
        <w:t>以外</w:t>
      </w:r>
      <w:r>
        <w:rPr>
          <w:rFonts w:ascii="標楷體" w:eastAsia="標楷體" w:hAnsi="標楷體" w:hint="eastAsia"/>
          <w:sz w:val="28"/>
          <w:szCs w:val="28"/>
        </w:rPr>
        <w:t>之</w:t>
      </w:r>
      <w:r w:rsidRPr="00FD4DB6">
        <w:rPr>
          <w:rFonts w:ascii="標楷體" w:eastAsia="標楷體" w:hAnsi="標楷體" w:hint="eastAsia"/>
          <w:sz w:val="28"/>
          <w:szCs w:val="28"/>
        </w:rPr>
        <w:t>評審小組修正為教評會</w:t>
      </w:r>
      <w:r w:rsidR="006E6ACB">
        <w:rPr>
          <w:rFonts w:ascii="標楷體" w:eastAsia="標楷體" w:hAnsi="標楷體" w:hint="eastAsia"/>
          <w:sz w:val="28"/>
          <w:szCs w:val="28"/>
        </w:rPr>
        <w:t>。</w:t>
      </w:r>
    </w:p>
    <w:p w:rsidR="00FD4DB6" w:rsidRPr="00FD4DB6" w:rsidRDefault="00FD4DB6" w:rsidP="00FD4DB6">
      <w:pPr>
        <w:pStyle w:val="a3"/>
        <w:numPr>
          <w:ilvl w:val="0"/>
          <w:numId w:val="6"/>
        </w:numPr>
        <w:ind w:leftChars="0" w:right="100"/>
        <w:rPr>
          <w:rFonts w:ascii="標楷體" w:eastAsia="標楷體" w:hAnsi="標楷體"/>
          <w:sz w:val="28"/>
          <w:szCs w:val="28"/>
        </w:rPr>
      </w:pPr>
      <w:r w:rsidRPr="00FD4DB6">
        <w:rPr>
          <w:rFonts w:ascii="標楷體" w:eastAsia="標楷體" w:hAnsi="標楷體" w:hint="eastAsia"/>
          <w:sz w:val="28"/>
          <w:szCs w:val="28"/>
        </w:rPr>
        <w:t>授權教務處訂定減班超額教師計算原則後送校務會議通過後實施之。</w:t>
      </w:r>
    </w:p>
    <w:p w:rsidR="00FD4DB6" w:rsidRPr="00FD4DB6" w:rsidRDefault="00FD4DB6" w:rsidP="00FD4DB6">
      <w:pPr>
        <w:pStyle w:val="a3"/>
        <w:numPr>
          <w:ilvl w:val="0"/>
          <w:numId w:val="6"/>
        </w:numPr>
        <w:ind w:leftChars="0" w:right="100"/>
        <w:rPr>
          <w:rFonts w:ascii="標楷體" w:eastAsia="標楷體" w:hAnsi="標楷體"/>
          <w:sz w:val="28"/>
          <w:szCs w:val="28"/>
        </w:rPr>
      </w:pPr>
      <w:r w:rsidRPr="00FD4DB6">
        <w:rPr>
          <w:rFonts w:ascii="標楷體" w:eastAsia="標楷體" w:hAnsi="標楷體" w:hint="eastAsia"/>
          <w:sz w:val="28"/>
          <w:szCs w:val="28"/>
        </w:rPr>
        <w:t>超額教師之</w:t>
      </w:r>
      <w:r w:rsidR="0097796E">
        <w:rPr>
          <w:rFonts w:ascii="標楷體" w:eastAsia="標楷體" w:hAnsi="標楷體" w:hint="eastAsia"/>
          <w:sz w:val="28"/>
          <w:szCs w:val="28"/>
        </w:rPr>
        <w:t>提報</w:t>
      </w:r>
      <w:r w:rsidRPr="00FD4DB6">
        <w:rPr>
          <w:rFonts w:ascii="標楷體" w:eastAsia="標楷體" w:hAnsi="標楷體" w:hint="eastAsia"/>
          <w:sz w:val="28"/>
          <w:szCs w:val="28"/>
        </w:rPr>
        <w:t>排除當學年度接任且次學年度續兼任各處室主任、生教組長及教學組長。</w:t>
      </w:r>
    </w:p>
    <w:sectPr w:rsidR="00FD4DB6" w:rsidRPr="00FD4DB6" w:rsidSect="00D264E7">
      <w:pgSz w:w="11906" w:h="16838"/>
      <w:pgMar w:top="454" w:right="510" w:bottom="454" w:left="45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2EF" w:rsidRDefault="00C532EF" w:rsidP="000D001B">
      <w:r>
        <w:separator/>
      </w:r>
    </w:p>
  </w:endnote>
  <w:endnote w:type="continuationSeparator" w:id="0">
    <w:p w:rsidR="00C532EF" w:rsidRDefault="00C532EF" w:rsidP="000D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2EF" w:rsidRDefault="00C532EF" w:rsidP="000D001B">
      <w:r>
        <w:separator/>
      </w:r>
    </w:p>
  </w:footnote>
  <w:footnote w:type="continuationSeparator" w:id="0">
    <w:p w:rsidR="00C532EF" w:rsidRDefault="00C532EF" w:rsidP="000D0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D7207"/>
    <w:multiLevelType w:val="hybridMultilevel"/>
    <w:tmpl w:val="BD20FCCC"/>
    <w:lvl w:ilvl="0" w:tplc="CAB41716">
      <w:start w:val="1"/>
      <w:numFmt w:val="taiwaneseCountingThousand"/>
      <w:lvlText w:val="%1、"/>
      <w:lvlJc w:val="left"/>
      <w:pPr>
        <w:ind w:left="960" w:hanging="48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A77720F"/>
    <w:multiLevelType w:val="hybridMultilevel"/>
    <w:tmpl w:val="46269C24"/>
    <w:lvl w:ilvl="0" w:tplc="B9C2DA96">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2376DF"/>
    <w:multiLevelType w:val="hybridMultilevel"/>
    <w:tmpl w:val="A88ED6EA"/>
    <w:lvl w:ilvl="0" w:tplc="E47AC5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FCD6609"/>
    <w:multiLevelType w:val="hybridMultilevel"/>
    <w:tmpl w:val="81BC7A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53A222A"/>
    <w:multiLevelType w:val="hybridMultilevel"/>
    <w:tmpl w:val="46269C24"/>
    <w:lvl w:ilvl="0" w:tplc="B9C2DA96">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7D057D0"/>
    <w:multiLevelType w:val="hybridMultilevel"/>
    <w:tmpl w:val="E3EEB79C"/>
    <w:lvl w:ilvl="0" w:tplc="56847FE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64E7"/>
    <w:rsid w:val="000A6B32"/>
    <w:rsid w:val="000A7F91"/>
    <w:rsid w:val="000D001B"/>
    <w:rsid w:val="00242FAD"/>
    <w:rsid w:val="00331878"/>
    <w:rsid w:val="003A7425"/>
    <w:rsid w:val="00440FE8"/>
    <w:rsid w:val="00483B39"/>
    <w:rsid w:val="006E6ACB"/>
    <w:rsid w:val="00705274"/>
    <w:rsid w:val="007A1367"/>
    <w:rsid w:val="007E2108"/>
    <w:rsid w:val="00950E70"/>
    <w:rsid w:val="009750A1"/>
    <w:rsid w:val="0097796E"/>
    <w:rsid w:val="00A60E68"/>
    <w:rsid w:val="00AD7C2B"/>
    <w:rsid w:val="00B563C5"/>
    <w:rsid w:val="00C375D2"/>
    <w:rsid w:val="00C532EF"/>
    <w:rsid w:val="00CE231F"/>
    <w:rsid w:val="00D264E7"/>
    <w:rsid w:val="00E0727E"/>
    <w:rsid w:val="00F110A7"/>
    <w:rsid w:val="00F8431F"/>
    <w:rsid w:val="00FD4D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A07F00-DBDE-41BE-A027-38DD6BE16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3C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FE8"/>
    <w:pPr>
      <w:ind w:leftChars="200" w:left="480"/>
    </w:pPr>
  </w:style>
  <w:style w:type="paragraph" w:styleId="a4">
    <w:name w:val="header"/>
    <w:basedOn w:val="a"/>
    <w:link w:val="a5"/>
    <w:uiPriority w:val="99"/>
    <w:unhideWhenUsed/>
    <w:rsid w:val="000D001B"/>
    <w:pPr>
      <w:tabs>
        <w:tab w:val="center" w:pos="4153"/>
        <w:tab w:val="right" w:pos="8306"/>
      </w:tabs>
      <w:snapToGrid w:val="0"/>
    </w:pPr>
    <w:rPr>
      <w:sz w:val="20"/>
      <w:szCs w:val="20"/>
    </w:rPr>
  </w:style>
  <w:style w:type="character" w:customStyle="1" w:styleId="a5">
    <w:name w:val="頁首 字元"/>
    <w:basedOn w:val="a0"/>
    <w:link w:val="a4"/>
    <w:uiPriority w:val="99"/>
    <w:rsid w:val="000D001B"/>
    <w:rPr>
      <w:sz w:val="20"/>
      <w:szCs w:val="20"/>
    </w:rPr>
  </w:style>
  <w:style w:type="paragraph" w:styleId="a6">
    <w:name w:val="footer"/>
    <w:basedOn w:val="a"/>
    <w:link w:val="a7"/>
    <w:uiPriority w:val="99"/>
    <w:unhideWhenUsed/>
    <w:rsid w:val="000D001B"/>
    <w:pPr>
      <w:tabs>
        <w:tab w:val="center" w:pos="4153"/>
        <w:tab w:val="right" w:pos="8306"/>
      </w:tabs>
      <w:snapToGrid w:val="0"/>
    </w:pPr>
    <w:rPr>
      <w:sz w:val="20"/>
      <w:szCs w:val="20"/>
    </w:rPr>
  </w:style>
  <w:style w:type="character" w:customStyle="1" w:styleId="a7">
    <w:name w:val="頁尾 字元"/>
    <w:basedOn w:val="a0"/>
    <w:link w:val="a6"/>
    <w:uiPriority w:val="99"/>
    <w:rsid w:val="000D001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507149">
      <w:bodyDiv w:val="1"/>
      <w:marLeft w:val="0"/>
      <w:marRight w:val="0"/>
      <w:marTop w:val="0"/>
      <w:marBottom w:val="0"/>
      <w:divBdr>
        <w:top w:val="none" w:sz="0" w:space="0" w:color="auto"/>
        <w:left w:val="none" w:sz="0" w:space="0" w:color="auto"/>
        <w:bottom w:val="none" w:sz="0" w:space="0" w:color="auto"/>
        <w:right w:val="none" w:sz="0" w:space="0" w:color="auto"/>
      </w:divBdr>
    </w:div>
    <w:div w:id="489902619">
      <w:bodyDiv w:val="1"/>
      <w:marLeft w:val="0"/>
      <w:marRight w:val="0"/>
      <w:marTop w:val="0"/>
      <w:marBottom w:val="0"/>
      <w:divBdr>
        <w:top w:val="none" w:sz="0" w:space="0" w:color="auto"/>
        <w:left w:val="none" w:sz="0" w:space="0" w:color="auto"/>
        <w:bottom w:val="none" w:sz="0" w:space="0" w:color="auto"/>
        <w:right w:val="none" w:sz="0" w:space="0" w:color="auto"/>
      </w:divBdr>
    </w:div>
    <w:div w:id="509223317">
      <w:bodyDiv w:val="1"/>
      <w:marLeft w:val="0"/>
      <w:marRight w:val="0"/>
      <w:marTop w:val="0"/>
      <w:marBottom w:val="0"/>
      <w:divBdr>
        <w:top w:val="none" w:sz="0" w:space="0" w:color="auto"/>
        <w:left w:val="none" w:sz="0" w:space="0" w:color="auto"/>
        <w:bottom w:val="none" w:sz="0" w:space="0" w:color="auto"/>
        <w:right w:val="none" w:sz="0" w:space="0" w:color="auto"/>
      </w:divBdr>
    </w:div>
    <w:div w:id="748036818">
      <w:bodyDiv w:val="1"/>
      <w:marLeft w:val="0"/>
      <w:marRight w:val="0"/>
      <w:marTop w:val="0"/>
      <w:marBottom w:val="0"/>
      <w:divBdr>
        <w:top w:val="none" w:sz="0" w:space="0" w:color="auto"/>
        <w:left w:val="none" w:sz="0" w:space="0" w:color="auto"/>
        <w:bottom w:val="none" w:sz="0" w:space="0" w:color="auto"/>
        <w:right w:val="none" w:sz="0" w:space="0" w:color="auto"/>
      </w:divBdr>
    </w:div>
    <w:div w:id="767770998">
      <w:bodyDiv w:val="1"/>
      <w:marLeft w:val="0"/>
      <w:marRight w:val="0"/>
      <w:marTop w:val="0"/>
      <w:marBottom w:val="0"/>
      <w:divBdr>
        <w:top w:val="none" w:sz="0" w:space="0" w:color="auto"/>
        <w:left w:val="none" w:sz="0" w:space="0" w:color="auto"/>
        <w:bottom w:val="none" w:sz="0" w:space="0" w:color="auto"/>
        <w:right w:val="none" w:sz="0" w:space="0" w:color="auto"/>
      </w:divBdr>
    </w:div>
    <w:div w:id="855853595">
      <w:bodyDiv w:val="1"/>
      <w:marLeft w:val="0"/>
      <w:marRight w:val="0"/>
      <w:marTop w:val="0"/>
      <w:marBottom w:val="0"/>
      <w:divBdr>
        <w:top w:val="none" w:sz="0" w:space="0" w:color="auto"/>
        <w:left w:val="none" w:sz="0" w:space="0" w:color="auto"/>
        <w:bottom w:val="none" w:sz="0" w:space="0" w:color="auto"/>
        <w:right w:val="none" w:sz="0" w:space="0" w:color="auto"/>
      </w:divBdr>
    </w:div>
    <w:div w:id="1298609772">
      <w:bodyDiv w:val="1"/>
      <w:marLeft w:val="0"/>
      <w:marRight w:val="0"/>
      <w:marTop w:val="0"/>
      <w:marBottom w:val="0"/>
      <w:divBdr>
        <w:top w:val="none" w:sz="0" w:space="0" w:color="auto"/>
        <w:left w:val="none" w:sz="0" w:space="0" w:color="auto"/>
        <w:bottom w:val="none" w:sz="0" w:space="0" w:color="auto"/>
        <w:right w:val="none" w:sz="0" w:space="0" w:color="auto"/>
      </w:divBdr>
    </w:div>
    <w:div w:id="1306743843">
      <w:bodyDiv w:val="1"/>
      <w:marLeft w:val="0"/>
      <w:marRight w:val="0"/>
      <w:marTop w:val="0"/>
      <w:marBottom w:val="0"/>
      <w:divBdr>
        <w:top w:val="none" w:sz="0" w:space="0" w:color="auto"/>
        <w:left w:val="none" w:sz="0" w:space="0" w:color="auto"/>
        <w:bottom w:val="none" w:sz="0" w:space="0" w:color="auto"/>
        <w:right w:val="none" w:sz="0" w:space="0" w:color="auto"/>
      </w:divBdr>
    </w:div>
    <w:div w:id="1338192402">
      <w:bodyDiv w:val="1"/>
      <w:marLeft w:val="0"/>
      <w:marRight w:val="0"/>
      <w:marTop w:val="0"/>
      <w:marBottom w:val="0"/>
      <w:divBdr>
        <w:top w:val="none" w:sz="0" w:space="0" w:color="auto"/>
        <w:left w:val="none" w:sz="0" w:space="0" w:color="auto"/>
        <w:bottom w:val="none" w:sz="0" w:space="0" w:color="auto"/>
        <w:right w:val="none" w:sz="0" w:space="0" w:color="auto"/>
      </w:divBdr>
    </w:div>
    <w:div w:id="1442140277">
      <w:bodyDiv w:val="1"/>
      <w:marLeft w:val="0"/>
      <w:marRight w:val="0"/>
      <w:marTop w:val="0"/>
      <w:marBottom w:val="0"/>
      <w:divBdr>
        <w:top w:val="none" w:sz="0" w:space="0" w:color="auto"/>
        <w:left w:val="none" w:sz="0" w:space="0" w:color="auto"/>
        <w:bottom w:val="none" w:sz="0" w:space="0" w:color="auto"/>
        <w:right w:val="none" w:sz="0" w:space="0" w:color="auto"/>
      </w:divBdr>
    </w:div>
    <w:div w:id="1551070549">
      <w:bodyDiv w:val="1"/>
      <w:marLeft w:val="0"/>
      <w:marRight w:val="0"/>
      <w:marTop w:val="0"/>
      <w:marBottom w:val="0"/>
      <w:divBdr>
        <w:top w:val="none" w:sz="0" w:space="0" w:color="auto"/>
        <w:left w:val="none" w:sz="0" w:space="0" w:color="auto"/>
        <w:bottom w:val="none" w:sz="0" w:space="0" w:color="auto"/>
        <w:right w:val="none" w:sz="0" w:space="0" w:color="auto"/>
      </w:divBdr>
    </w:div>
    <w:div w:id="1685590172">
      <w:bodyDiv w:val="1"/>
      <w:marLeft w:val="0"/>
      <w:marRight w:val="0"/>
      <w:marTop w:val="0"/>
      <w:marBottom w:val="0"/>
      <w:divBdr>
        <w:top w:val="none" w:sz="0" w:space="0" w:color="auto"/>
        <w:left w:val="none" w:sz="0" w:space="0" w:color="auto"/>
        <w:bottom w:val="none" w:sz="0" w:space="0" w:color="auto"/>
        <w:right w:val="none" w:sz="0" w:space="0" w:color="auto"/>
      </w:divBdr>
    </w:div>
    <w:div w:id="1824853239">
      <w:bodyDiv w:val="1"/>
      <w:marLeft w:val="0"/>
      <w:marRight w:val="0"/>
      <w:marTop w:val="0"/>
      <w:marBottom w:val="0"/>
      <w:divBdr>
        <w:top w:val="none" w:sz="0" w:space="0" w:color="auto"/>
        <w:left w:val="none" w:sz="0" w:space="0" w:color="auto"/>
        <w:bottom w:val="none" w:sz="0" w:space="0" w:color="auto"/>
        <w:right w:val="none" w:sz="0" w:space="0" w:color="auto"/>
      </w:divBdr>
    </w:div>
    <w:div w:id="20237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3</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2017-02-17T23:49:00Z</dcterms:created>
  <dcterms:modified xsi:type="dcterms:W3CDTF">2017-03-22T01:53:00Z</dcterms:modified>
</cp:coreProperties>
</file>