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70" w:rsidRPr="00AE0E70" w:rsidRDefault="00AE0E70" w:rsidP="00AE0E70">
      <w:pPr>
        <w:pStyle w:val="a5"/>
        <w:jc w:val="center"/>
        <w:rPr>
          <w:rFonts w:ascii="標楷體" w:eastAsia="標楷體" w:hAnsi="標楷體"/>
          <w:color w:val="00B050"/>
          <w:sz w:val="28"/>
          <w:szCs w:val="28"/>
        </w:rPr>
      </w:pPr>
      <w:bookmarkStart w:id="0" w:name="_GoBack"/>
      <w:bookmarkEnd w:id="0"/>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r w:rsidRPr="00AE0E70">
        <w:rPr>
          <w:rFonts w:ascii="標楷體" w:eastAsia="標楷體" w:hAnsi="標楷體" w:hint="eastAsia"/>
          <w:color w:val="00B050"/>
          <w:sz w:val="28"/>
          <w:szCs w:val="28"/>
        </w:rPr>
        <w:t>各國交通規則注意事項一覽表</w:t>
      </w:r>
    </w:p>
    <w:tbl>
      <w:tblPr>
        <w:tblStyle w:val="a3"/>
        <w:tblW w:w="0" w:type="auto"/>
        <w:tblLook w:val="04A0" w:firstRow="1" w:lastRow="0" w:firstColumn="1" w:lastColumn="0" w:noHBand="0" w:noVBand="1"/>
      </w:tblPr>
      <w:tblGrid>
        <w:gridCol w:w="2802"/>
        <w:gridCol w:w="5560"/>
      </w:tblGrid>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firstRow="1" w:lastRow="0" w:firstColumn="1" w:lastColumn="0" w:noHBand="0" w:noVBand="1"/>
            </w:tblPr>
            <w:tblGrid>
              <w:gridCol w:w="992"/>
              <w:gridCol w:w="1276"/>
              <w:gridCol w:w="1275"/>
              <w:gridCol w:w="1276"/>
            </w:tblGrid>
            <w:tr w:rsidR="00060F03" w:rsidRPr="00EE6EDA" w:rsidTr="0042479F">
              <w:tc>
                <w:tcPr>
                  <w:tcW w:w="992" w:type="dxa"/>
                </w:tcPr>
                <w:p w:rsidR="00060F03" w:rsidRPr="00EE6EDA" w:rsidRDefault="00060F03" w:rsidP="0042479F">
                  <w:pPr>
                    <w:pStyle w:val="a4"/>
                    <w:spacing w:beforeLines="50" w:before="18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w:t>
                  </w:r>
                  <w:r>
                    <w:rPr>
                      <w:rFonts w:ascii="標楷體" w:eastAsia="標楷體" w:hAnsi="標楷體" w:hint="eastAsia"/>
                      <w:color w:val="000000" w:themeColor="text1"/>
                      <w:szCs w:val="32"/>
                      <w:lang w:val="de-AT"/>
                    </w:rPr>
                    <w:t xml:space="preserve"> </w:t>
                  </w:r>
                  <w:r w:rsidRPr="00EE6EDA">
                    <w:rPr>
                      <w:rFonts w:ascii="標楷體" w:eastAsia="標楷體" w:hAnsi="標楷體" w:hint="eastAsia"/>
                      <w:color w:val="000000" w:themeColor="text1"/>
                      <w:szCs w:val="32"/>
                      <w:lang w:val="de-AT"/>
                    </w:rPr>
                    <w:t>有效</w:t>
                  </w: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w:t>
                  </w:r>
                  <w:r>
                    <w:rPr>
                      <w:rFonts w:ascii="Times New Roman" w:eastAsia="標楷體" w:hAnsi="Times New Roman" w:cs="Times New Roman" w:hint="eastAsia"/>
                      <w:color w:val="000000" w:themeColor="text1"/>
                      <w:szCs w:val="32"/>
                      <w:lang w:val="de-AT"/>
                    </w:rPr>
                    <w:t xml:space="preserve"> </w:t>
                  </w:r>
                  <w:r w:rsidRPr="00EE6EDA">
                    <w:rPr>
                      <w:rFonts w:ascii="Times New Roman" w:eastAsia="標楷體" w:hAnsi="Times New Roman" w:cs="Times New Roman"/>
                      <w:color w:val="000000" w:themeColor="text1"/>
                      <w:szCs w:val="32"/>
                      <w:lang w:val="de-AT"/>
                    </w:rPr>
                    <w:t>機車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w:t>
            </w:r>
            <w:proofErr w:type="spellStart"/>
            <w:r w:rsidRPr="00EE6EDA">
              <w:rPr>
                <w:rFonts w:ascii="Times New Roman" w:eastAsia="標楷體" w:hAnsi="Times New Roman" w:cs="Times New Roman" w:hint="eastAsia"/>
              </w:rPr>
              <w:t>Schnellstraße</w:t>
            </w:r>
            <w:proofErr w:type="spellEnd"/>
            <w:r w:rsidRPr="00EE6EDA">
              <w:rPr>
                <w:rFonts w:ascii="Times New Roman" w:eastAsia="標楷體" w:hAnsi="Times New Roman" w:cs="Times New Roman" w:hint="eastAsia"/>
              </w:rPr>
              <w:t xml:space="preserve"> &amp; </w:t>
            </w:r>
            <w:proofErr w:type="spellStart"/>
            <w:r w:rsidRPr="00EE6EDA">
              <w:rPr>
                <w:rFonts w:ascii="Times New Roman" w:eastAsia="標楷體" w:hAnsi="Times New Roman" w:cs="Times New Roman" w:hint="eastAsia"/>
              </w:rPr>
              <w:t>Bundesstraße</w:t>
            </w:r>
            <w:proofErr w:type="spellEnd"/>
            <w:r w:rsidRPr="00EE6EDA">
              <w:rPr>
                <w:rFonts w:ascii="Times New Roman" w:eastAsia="標楷體" w:hAnsi="Times New Roman" w:cs="Times New Roman" w:hint="eastAsia"/>
              </w:rPr>
              <w:t>)</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w:t>
            </w:r>
            <w:proofErr w:type="spellStart"/>
            <w:r w:rsidRPr="00EE6EDA">
              <w:rPr>
                <w:rFonts w:ascii="Times New Roman" w:eastAsia="標楷體" w:hAnsi="Times New Roman" w:cs="Times New Roman" w:hint="eastAsia"/>
              </w:rPr>
              <w:t>Landstraße</w:t>
            </w:r>
            <w:proofErr w:type="spellEnd"/>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w:t>
            </w:r>
            <w:proofErr w:type="spellStart"/>
            <w:r w:rsidRPr="00EE6EDA">
              <w:rPr>
                <w:rFonts w:ascii="Times New Roman" w:eastAsia="標楷體" w:hAnsi="Times New Roman" w:cs="Times New Roman" w:hint="eastAsia"/>
              </w:rPr>
              <w:t>Rettungsgasse</w:t>
            </w:r>
            <w:proofErr w:type="spellEnd"/>
            <w:r w:rsidRPr="00EE6EDA">
              <w:rPr>
                <w:rFonts w:ascii="Times New Roman" w:eastAsia="標楷體" w:hAnsi="Times New Roman" w:cs="Times New Roman" w:hint="eastAsia"/>
              </w:rPr>
              <w:t>)</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w:t>
            </w:r>
            <w:proofErr w:type="spellStart"/>
            <w:r w:rsidRPr="00D0261D">
              <w:rPr>
                <w:rFonts w:ascii="Times New Roman" w:eastAsia="標楷體" w:hAnsi="Times New Roman" w:cs="Times New Roman" w:hint="eastAsia"/>
              </w:rPr>
              <w:t>Kindersitz</w:t>
            </w:r>
            <w:proofErr w:type="spellEnd"/>
            <w:r w:rsidRPr="00D0261D">
              <w:rPr>
                <w:rFonts w:ascii="Times New Roman" w:eastAsia="標楷體" w:hAnsi="Times New Roman" w:cs="Times New Roman" w:hint="eastAsia"/>
              </w:rPr>
              <w:t>)</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w:t>
            </w:r>
            <w:proofErr w:type="spellStart"/>
            <w:r w:rsidRPr="002C357A">
              <w:rPr>
                <w:rFonts w:ascii="Times New Roman" w:eastAsia="標楷體" w:hAnsi="Times New Roman" w:cs="Times New Roman" w:hint="eastAsia"/>
              </w:rPr>
              <w:t>Razem</w:t>
            </w:r>
            <w:proofErr w:type="spellEnd"/>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w:t>
            </w:r>
            <w:r w:rsidRPr="00CA3BE4">
              <w:rPr>
                <w:rFonts w:ascii="Times New Roman" w:eastAsia="標楷體" w:hAnsi="Times New Roman" w:cs="Times New Roman" w:hint="eastAsia"/>
              </w:rPr>
              <w:t xml:space="preserve"> </w:t>
            </w:r>
            <w:r w:rsidRPr="00CA3BE4">
              <w:rPr>
                <w:rFonts w:ascii="Times New Roman" w:eastAsia="標楷體" w:hAnsi="Times New Roman" w:cs="Times New Roman" w:hint="eastAsia"/>
              </w:rPr>
              <w:t>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w:t>
            </w:r>
            <w:proofErr w:type="spellStart"/>
            <w:r w:rsidRPr="007F29B2">
              <w:rPr>
                <w:rFonts w:ascii="Times New Roman" w:eastAsia="標楷體" w:hAnsi="Times New Roman" w:cs="Times New Roman" w:hint="eastAsia"/>
              </w:rPr>
              <w:t>Bahn</w:t>
            </w:r>
            <w:proofErr w:type="spellEnd"/>
            <w:r w:rsidRPr="007F29B2">
              <w:rPr>
                <w:rFonts w:ascii="Times New Roman" w:eastAsia="標楷體" w:hAnsi="Times New Roman" w:cs="Times New Roman" w:hint="eastAsia"/>
              </w:rPr>
              <w:t>)</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w:t>
            </w:r>
            <w:proofErr w:type="spellStart"/>
            <w:r w:rsidRPr="007F29B2">
              <w:rPr>
                <w:rFonts w:ascii="Times New Roman" w:eastAsia="標楷體" w:hAnsi="Times New Roman" w:cs="Times New Roman" w:hint="eastAsia"/>
              </w:rPr>
              <w:t>Bahncard</w:t>
            </w:r>
            <w:proofErr w:type="spellEnd"/>
            <w:r w:rsidRPr="007F29B2">
              <w:rPr>
                <w:rFonts w:ascii="Times New Roman" w:eastAsia="標楷體" w:hAnsi="Times New Roman" w:cs="Times New Roman" w:hint="eastAsia"/>
              </w:rPr>
              <w:t>)</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r w:rsidRPr="00CA532B">
              <w:rPr>
                <w:rFonts w:ascii="Times New Roman" w:eastAsia="標楷體" w:hAnsi="Times New Roman" w:cs="Times New Roman" w:hint="eastAsia"/>
              </w:rPr>
              <w:t xml:space="preserve"> </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 xml:space="preserve">s </w:t>
            </w:r>
            <w:proofErr w:type="spellStart"/>
            <w:r w:rsidRPr="00CF0DF9">
              <w:rPr>
                <w:rFonts w:ascii="Times New Roman" w:eastAsia="標楷體" w:hAnsi="Times New Roman" w:cs="Times New Roman" w:hint="eastAsia"/>
              </w:rPr>
              <w:t>Licence,VCDL</w:t>
            </w:r>
            <w:proofErr w:type="spellEnd"/>
            <w:r w:rsidRPr="00CF0DF9">
              <w:rPr>
                <w:rFonts w:ascii="Times New Roman" w:eastAsia="標楷體" w:hAnsi="Times New Roman" w:cs="Times New Roman" w:hint="eastAsia"/>
              </w:rPr>
              <w:t>)</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r w:rsidRPr="000E471B">
              <w:rPr>
                <w:rFonts w:ascii="Times New Roman" w:eastAsia="標楷體" w:hAnsi="Times New Roman" w:cs="Times New Roman" w:hint="eastAsia"/>
              </w:rPr>
              <w:t xml:space="preserve"> </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A"/>
    <w:rsid w:val="00060F03"/>
    <w:rsid w:val="00093EA4"/>
    <w:rsid w:val="000B0F9F"/>
    <w:rsid w:val="000E471B"/>
    <w:rsid w:val="001D3F81"/>
    <w:rsid w:val="0022526C"/>
    <w:rsid w:val="002C357A"/>
    <w:rsid w:val="002C4107"/>
    <w:rsid w:val="00381D9B"/>
    <w:rsid w:val="003B4B6F"/>
    <w:rsid w:val="003E2493"/>
    <w:rsid w:val="00536D36"/>
    <w:rsid w:val="005C2CA0"/>
    <w:rsid w:val="006240EA"/>
    <w:rsid w:val="007024F8"/>
    <w:rsid w:val="007F29B2"/>
    <w:rsid w:val="007F74B8"/>
    <w:rsid w:val="00811C97"/>
    <w:rsid w:val="008B2469"/>
    <w:rsid w:val="009173D5"/>
    <w:rsid w:val="009F2395"/>
    <w:rsid w:val="00A215A4"/>
    <w:rsid w:val="00A7155F"/>
    <w:rsid w:val="00AA2896"/>
    <w:rsid w:val="00AE0E70"/>
    <w:rsid w:val="00B2695B"/>
    <w:rsid w:val="00BD6DC0"/>
    <w:rsid w:val="00CA3BE4"/>
    <w:rsid w:val="00CA532B"/>
    <w:rsid w:val="00CF0DF9"/>
    <w:rsid w:val="00D0261D"/>
    <w:rsid w:val="00E70E78"/>
    <w:rsid w:val="00EC513D"/>
    <w:rsid w:val="00EE6EDA"/>
    <w:rsid w:val="00F2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76B83-2FB9-4543-8F7D-2F3E57C1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總局-監理組-劉信宏</dc:creator>
  <cp:lastModifiedBy>ADMIN</cp:lastModifiedBy>
  <cp:revision>3</cp:revision>
  <dcterms:created xsi:type="dcterms:W3CDTF">2016-06-23T03:44:00Z</dcterms:created>
  <dcterms:modified xsi:type="dcterms:W3CDTF">2016-06-23T03:45:00Z</dcterms:modified>
</cp:coreProperties>
</file>