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150" w:rsidRDefault="00B80150" w:rsidP="00B80150">
      <w:pPr>
        <w:spacing w:line="320" w:lineRule="exact"/>
        <w:rPr>
          <w:rFonts w:eastAsia="標楷體"/>
          <w:sz w:val="28"/>
        </w:rPr>
      </w:pPr>
    </w:p>
    <w:p w:rsidR="00B80150" w:rsidRDefault="00B80150" w:rsidP="00B80150">
      <w:pPr>
        <w:spacing w:afterLines="50" w:after="180" w:line="360" w:lineRule="exact"/>
        <w:jc w:val="center"/>
      </w:pPr>
      <w:bookmarkStart w:id="0" w:name="_GoBack"/>
      <w:proofErr w:type="gramStart"/>
      <w:r w:rsidRPr="0001267A">
        <w:rPr>
          <w:rFonts w:ascii="標楷體" w:eastAsia="標楷體" w:hAnsi="標楷體" w:cs="標楷體" w:hint="eastAsia"/>
          <w:sz w:val="28"/>
          <w:szCs w:val="28"/>
        </w:rPr>
        <w:t>臺</w:t>
      </w:r>
      <w:proofErr w:type="gramEnd"/>
      <w:r w:rsidRPr="0001267A">
        <w:rPr>
          <w:rFonts w:ascii="標楷體" w:eastAsia="標楷體" w:hAnsi="標楷體" w:cs="標楷體" w:hint="eastAsia"/>
          <w:sz w:val="28"/>
          <w:szCs w:val="28"/>
        </w:rPr>
        <w:t>南市</w:t>
      </w:r>
      <w:r>
        <w:rPr>
          <w:rFonts w:ascii="標楷體" w:eastAsia="標楷體" w:hAnsi="標楷體" w:cs="標楷體" w:hint="eastAsia"/>
          <w:sz w:val="28"/>
          <w:szCs w:val="28"/>
        </w:rPr>
        <w:t>103年12月交通事故分析</w:t>
      </w:r>
      <w:bookmarkEnd w:id="0"/>
      <w:r>
        <w:rPr>
          <w:rFonts w:ascii="標楷體" w:eastAsia="標楷體" w:hAnsi="標楷體" w:cs="標楷體" w:hint="eastAsia"/>
          <w:sz w:val="28"/>
          <w:szCs w:val="28"/>
        </w:rPr>
        <w:t>解讀及事故防制策進作為</w:t>
      </w:r>
    </w:p>
    <w:p w:rsidR="00B80150" w:rsidRDefault="00B80150" w:rsidP="00B80150">
      <w:pPr>
        <w:numPr>
          <w:ilvl w:val="0"/>
          <w:numId w:val="1"/>
        </w:numPr>
        <w:spacing w:beforeLines="50" w:before="180" w:line="360" w:lineRule="exact"/>
        <w:rPr>
          <w:rFonts w:ascii="標楷體" w:eastAsia="標楷體" w:hAnsi="標楷體" w:cs="標楷體"/>
          <w:sz w:val="28"/>
          <w:szCs w:val="28"/>
        </w:rPr>
      </w:pPr>
      <w:r>
        <w:rPr>
          <w:rFonts w:ascii="標楷體" w:eastAsia="標楷體" w:hAnsi="標楷體" w:cs="標楷體" w:hint="eastAsia"/>
          <w:sz w:val="28"/>
          <w:szCs w:val="28"/>
        </w:rPr>
        <w:t>交通事故分析解讀：</w:t>
      </w:r>
    </w:p>
    <w:p w:rsidR="00B80150" w:rsidRPr="0028288F" w:rsidRDefault="00B80150" w:rsidP="00B80150">
      <w:pPr>
        <w:tabs>
          <w:tab w:val="left" w:pos="709"/>
        </w:tabs>
        <w:spacing w:beforeLines="50" w:before="180" w:line="0" w:lineRule="atLeast"/>
        <w:ind w:left="720"/>
        <w:rPr>
          <w:rFonts w:ascii="標楷體" w:eastAsia="標楷體" w:hAnsi="標楷體"/>
          <w:sz w:val="28"/>
          <w:szCs w:val="28"/>
        </w:rPr>
      </w:pPr>
      <w:proofErr w:type="gramStart"/>
      <w:r w:rsidRPr="0028288F">
        <w:rPr>
          <w:rFonts w:ascii="標楷體" w:eastAsia="標楷體" w:hAnsi="標楷體" w:hint="eastAsia"/>
          <w:sz w:val="28"/>
          <w:szCs w:val="28"/>
        </w:rPr>
        <w:t>103</w:t>
      </w:r>
      <w:proofErr w:type="gramEnd"/>
      <w:r w:rsidRPr="0028288F">
        <w:rPr>
          <w:rFonts w:ascii="標楷體" w:eastAsia="標楷體" w:hAnsi="標楷體" w:hint="eastAsia"/>
          <w:sz w:val="28"/>
          <w:szCs w:val="28"/>
        </w:rPr>
        <w:t>年度12月A1類道路交通事故發生11件死亡11人，肇事特性分析如下：</w:t>
      </w:r>
    </w:p>
    <w:p w:rsidR="00B80150" w:rsidRPr="0028288F" w:rsidRDefault="00B80150" w:rsidP="00B80150">
      <w:pPr>
        <w:tabs>
          <w:tab w:val="left" w:pos="851"/>
        </w:tabs>
        <w:spacing w:beforeLines="50" w:before="180" w:line="0" w:lineRule="atLeast"/>
        <w:ind w:left="720" w:firstLineChars="50" w:firstLine="140"/>
        <w:rPr>
          <w:rFonts w:ascii="標楷體" w:eastAsia="標楷體" w:hAnsi="標楷體"/>
          <w:sz w:val="28"/>
          <w:szCs w:val="28"/>
        </w:rPr>
      </w:pPr>
      <w:r w:rsidRPr="0028288F">
        <w:rPr>
          <w:rFonts w:ascii="標楷體" w:eastAsia="標楷體" w:hAnsi="標楷體" w:hint="eastAsia"/>
          <w:sz w:val="28"/>
          <w:szCs w:val="28"/>
        </w:rPr>
        <w:t>(</w:t>
      </w:r>
      <w:proofErr w:type="gramStart"/>
      <w:r w:rsidRPr="0028288F">
        <w:rPr>
          <w:rFonts w:ascii="標楷體" w:eastAsia="標楷體" w:hAnsi="標楷體" w:hint="eastAsia"/>
          <w:sz w:val="28"/>
          <w:szCs w:val="28"/>
        </w:rPr>
        <w:t>一</w:t>
      </w:r>
      <w:proofErr w:type="gramEnd"/>
      <w:r w:rsidRPr="0028288F">
        <w:rPr>
          <w:rFonts w:ascii="標楷體" w:eastAsia="標楷體" w:hAnsi="標楷體" w:hint="eastAsia"/>
          <w:sz w:val="28"/>
          <w:szCs w:val="28"/>
        </w:rPr>
        <w:t>)肇事時段分析：以6-8時發生3件最多。</w:t>
      </w:r>
    </w:p>
    <w:p w:rsidR="00B80150" w:rsidRPr="0028288F" w:rsidRDefault="00B80150" w:rsidP="00B80150">
      <w:pPr>
        <w:tabs>
          <w:tab w:val="left" w:pos="851"/>
        </w:tabs>
        <w:spacing w:beforeLines="50" w:before="180" w:line="0" w:lineRule="atLeast"/>
        <w:ind w:leftChars="350" w:left="1540" w:hangingChars="250" w:hanging="700"/>
        <w:rPr>
          <w:rFonts w:ascii="標楷體" w:eastAsia="標楷體" w:hAnsi="標楷體"/>
          <w:sz w:val="28"/>
          <w:szCs w:val="28"/>
        </w:rPr>
      </w:pPr>
      <w:r w:rsidRPr="0028288F">
        <w:rPr>
          <w:rFonts w:ascii="標楷體" w:eastAsia="標楷體" w:hAnsi="標楷體" w:hint="eastAsia"/>
          <w:sz w:val="28"/>
          <w:szCs w:val="28"/>
        </w:rPr>
        <w:t>(二)肇事原因分析：以逆向行駛、未依規定讓車、左轉彎未依規定各發生2件最多。</w:t>
      </w:r>
    </w:p>
    <w:p w:rsidR="00B80150" w:rsidRPr="0028288F" w:rsidRDefault="00B80150" w:rsidP="00B80150">
      <w:pPr>
        <w:tabs>
          <w:tab w:val="left" w:pos="851"/>
        </w:tabs>
        <w:spacing w:beforeLines="50" w:before="180" w:line="0" w:lineRule="atLeast"/>
        <w:ind w:left="720" w:firstLineChars="50" w:firstLine="140"/>
        <w:rPr>
          <w:rFonts w:ascii="標楷體" w:eastAsia="標楷體" w:hAnsi="標楷體"/>
          <w:sz w:val="28"/>
          <w:szCs w:val="28"/>
        </w:rPr>
      </w:pPr>
      <w:r w:rsidRPr="0028288F">
        <w:rPr>
          <w:rFonts w:ascii="標楷體" w:eastAsia="標楷體" w:hAnsi="標楷體" w:hint="eastAsia"/>
          <w:sz w:val="28"/>
          <w:szCs w:val="28"/>
        </w:rPr>
        <w:t>(三)肇事車種分析：以機車發生5件最多。(未戴安全帽</w:t>
      </w:r>
      <w:r>
        <w:rPr>
          <w:rFonts w:ascii="標楷體" w:eastAsia="標楷體" w:hAnsi="標楷體" w:hint="eastAsia"/>
          <w:sz w:val="28"/>
          <w:szCs w:val="28"/>
        </w:rPr>
        <w:t>2件</w:t>
      </w:r>
      <w:r w:rsidRPr="0028288F">
        <w:rPr>
          <w:rFonts w:ascii="標楷體" w:eastAsia="標楷體" w:hAnsi="標楷體" w:hint="eastAsia"/>
          <w:sz w:val="28"/>
          <w:szCs w:val="28"/>
        </w:rPr>
        <w:t>)。</w:t>
      </w:r>
    </w:p>
    <w:p w:rsidR="00B80150" w:rsidRPr="0028288F" w:rsidRDefault="00B80150" w:rsidP="00B80150">
      <w:pPr>
        <w:tabs>
          <w:tab w:val="left" w:pos="851"/>
        </w:tabs>
        <w:spacing w:beforeLines="50" w:before="180" w:line="0" w:lineRule="atLeast"/>
        <w:ind w:leftChars="350" w:left="1400" w:hangingChars="200" w:hanging="560"/>
        <w:rPr>
          <w:rFonts w:ascii="標楷體" w:eastAsia="標楷體" w:hAnsi="標楷體"/>
          <w:sz w:val="28"/>
          <w:szCs w:val="28"/>
        </w:rPr>
      </w:pPr>
      <w:r w:rsidRPr="0028288F">
        <w:rPr>
          <w:rFonts w:ascii="標楷體" w:eastAsia="標楷體" w:hAnsi="標楷體" w:hint="eastAsia"/>
          <w:sz w:val="28"/>
          <w:szCs w:val="28"/>
        </w:rPr>
        <w:t>(四)道路型態分析：以市區道路發生10件最多，</w:t>
      </w:r>
      <w:proofErr w:type="gramStart"/>
      <w:r w:rsidRPr="0028288F">
        <w:rPr>
          <w:rFonts w:ascii="標楷體" w:eastAsia="標楷體" w:hAnsi="標楷體" w:hint="eastAsia"/>
          <w:sz w:val="28"/>
          <w:szCs w:val="28"/>
        </w:rPr>
        <w:t>直路發生</w:t>
      </w:r>
      <w:proofErr w:type="gramEnd"/>
      <w:r w:rsidRPr="0028288F">
        <w:rPr>
          <w:rFonts w:ascii="標楷體" w:eastAsia="標楷體" w:hAnsi="標楷體" w:hint="eastAsia"/>
          <w:sz w:val="28"/>
          <w:szCs w:val="28"/>
        </w:rPr>
        <w:t>6件最多。</w:t>
      </w:r>
    </w:p>
    <w:p w:rsidR="00B80150" w:rsidRPr="0028288F" w:rsidRDefault="00B80150" w:rsidP="00B80150">
      <w:pPr>
        <w:tabs>
          <w:tab w:val="left" w:pos="851"/>
        </w:tabs>
        <w:spacing w:beforeLines="50" w:before="180" w:line="0" w:lineRule="atLeast"/>
        <w:ind w:left="720" w:firstLineChars="50" w:firstLine="140"/>
        <w:rPr>
          <w:rFonts w:ascii="標楷體" w:eastAsia="標楷體" w:hAnsi="標楷體"/>
          <w:sz w:val="28"/>
          <w:szCs w:val="28"/>
        </w:rPr>
      </w:pPr>
      <w:r w:rsidRPr="0028288F">
        <w:rPr>
          <w:rFonts w:ascii="標楷體" w:eastAsia="標楷體" w:hAnsi="標楷體" w:hint="eastAsia"/>
          <w:sz w:val="28"/>
          <w:szCs w:val="28"/>
        </w:rPr>
        <w:t>(五)死亡者年齡層分析：70-79歲死亡3人最多。</w:t>
      </w:r>
    </w:p>
    <w:p w:rsidR="00B80150" w:rsidRPr="0028288F" w:rsidRDefault="00B80150" w:rsidP="00B80150">
      <w:pPr>
        <w:tabs>
          <w:tab w:val="left" w:pos="851"/>
        </w:tabs>
        <w:spacing w:beforeLines="50" w:before="180" w:line="0" w:lineRule="atLeast"/>
        <w:ind w:left="720" w:firstLineChars="50" w:firstLine="140"/>
        <w:rPr>
          <w:rFonts w:ascii="標楷體" w:eastAsia="標楷體" w:hAnsi="標楷體"/>
          <w:sz w:val="28"/>
          <w:szCs w:val="28"/>
        </w:rPr>
      </w:pPr>
      <w:r w:rsidRPr="0028288F">
        <w:rPr>
          <w:rFonts w:ascii="標楷體" w:eastAsia="標楷體" w:hAnsi="標楷體" w:hint="eastAsia"/>
          <w:sz w:val="28"/>
          <w:szCs w:val="28"/>
        </w:rPr>
        <w:t>(六)學生涉及肇事發生1件(高中生)。</w:t>
      </w:r>
    </w:p>
    <w:p w:rsidR="00B80150" w:rsidRPr="0028288F" w:rsidRDefault="00B80150" w:rsidP="00B80150">
      <w:pPr>
        <w:tabs>
          <w:tab w:val="left" w:pos="851"/>
        </w:tabs>
        <w:spacing w:beforeLines="50" w:before="180" w:line="0" w:lineRule="atLeast"/>
        <w:ind w:left="720" w:firstLineChars="50" w:firstLine="140"/>
        <w:rPr>
          <w:rFonts w:ascii="標楷體" w:eastAsia="標楷體" w:hAnsi="標楷體"/>
          <w:sz w:val="28"/>
          <w:szCs w:val="28"/>
        </w:rPr>
      </w:pPr>
      <w:r w:rsidRPr="0028288F">
        <w:rPr>
          <w:rFonts w:ascii="標楷體" w:eastAsia="標楷體" w:hAnsi="標楷體" w:hint="eastAsia"/>
          <w:sz w:val="28"/>
          <w:szCs w:val="28"/>
        </w:rPr>
        <w:t>(七)酒後駕車失控肇事發生2件死亡2人 。</w:t>
      </w:r>
    </w:p>
    <w:p w:rsidR="00B80150" w:rsidRDefault="00B80150" w:rsidP="00B80150">
      <w:pPr>
        <w:spacing w:beforeLines="50" w:before="180" w:line="400" w:lineRule="exact"/>
        <w:ind w:leftChars="236" w:left="992" w:hangingChars="152" w:hanging="426"/>
        <w:rPr>
          <w:rFonts w:ascii="標楷體" w:eastAsia="標楷體" w:hAnsi="標楷體"/>
          <w:sz w:val="28"/>
          <w:szCs w:val="28"/>
        </w:rPr>
      </w:pPr>
      <w:r>
        <w:rPr>
          <w:rFonts w:ascii="標楷體" w:eastAsia="標楷體" w:hAnsi="標楷體" w:cs="標楷體" w:hint="eastAsia"/>
          <w:sz w:val="28"/>
          <w:szCs w:val="28"/>
        </w:rPr>
        <w:t>二、交通事故防制策進作為：</w:t>
      </w:r>
    </w:p>
    <w:p w:rsidR="00B80150" w:rsidRPr="0028288F" w:rsidRDefault="00B80150" w:rsidP="00B80150">
      <w:pPr>
        <w:spacing w:before="50" w:line="500" w:lineRule="exact"/>
        <w:ind w:leftChars="423" w:left="1043" w:hangingChars="10" w:hanging="28"/>
        <w:rPr>
          <w:rFonts w:ascii="標楷體" w:eastAsia="標楷體" w:hAnsi="標楷體" w:cs="標楷體"/>
          <w:sz w:val="28"/>
          <w:szCs w:val="28"/>
        </w:rPr>
      </w:pPr>
      <w:r w:rsidRPr="0028288F">
        <w:rPr>
          <w:rFonts w:ascii="標楷體" w:eastAsia="標楷體" w:hAnsi="標楷體" w:hint="eastAsia"/>
          <w:sz w:val="28"/>
          <w:szCs w:val="28"/>
        </w:rPr>
        <w:t>本月交通事故型態，高齡長者(65歲以上)交通事故，本月共發生5件，造成5人死亡，占本月A1類交通事故45％，分析其用路型態，其中2人騎機車， 另2人騎自行車發生事故，一人為機車乘客;有鑑於此本局除於各社區活動中心、樂齡中心及長者聚會場所，加強長者用路安全宣導外，</w:t>
      </w:r>
      <w:r w:rsidRPr="0028288F">
        <w:rPr>
          <w:rFonts w:ascii="標楷體" w:eastAsia="標楷體" w:hAnsi="標楷體" w:hint="eastAsia"/>
          <w:color w:val="000000"/>
          <w:sz w:val="28"/>
          <w:szCs w:val="28"/>
        </w:rPr>
        <w:t>並</w:t>
      </w:r>
      <w:r w:rsidRPr="0028288F">
        <w:rPr>
          <w:rFonts w:ascii="標楷體" w:eastAsia="標楷體" w:hAnsi="標楷體" w:hint="eastAsia"/>
          <w:sz w:val="28"/>
          <w:szCs w:val="28"/>
        </w:rPr>
        <w:t>運用員警於執行家戶訪問或為民服務機會替轄區高齡者安裝自行車後座警示燈，提高自行車早晨及黃昏行駛的</w:t>
      </w:r>
      <w:r w:rsidRPr="0028288F">
        <w:rPr>
          <w:rFonts w:ascii="標楷體" w:eastAsia="標楷體" w:hAnsi="標楷體" w:hint="eastAsia"/>
          <w:color w:val="000000"/>
          <w:sz w:val="28"/>
          <w:szCs w:val="28"/>
        </w:rPr>
        <w:t>辨</w:t>
      </w:r>
      <w:r w:rsidRPr="0028288F">
        <w:rPr>
          <w:rFonts w:ascii="標楷體" w:eastAsia="標楷體" w:hAnsi="標楷體" w:hint="eastAsia"/>
          <w:sz w:val="28"/>
          <w:szCs w:val="28"/>
        </w:rPr>
        <w:t>視度，有效防制事故發生，以保障用路人安全。</w:t>
      </w:r>
    </w:p>
    <w:p w:rsidR="00171DEC" w:rsidRPr="00B80150" w:rsidRDefault="00171DEC"/>
    <w:sectPr w:rsidR="00171DEC" w:rsidRPr="00B8015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F1CF4"/>
    <w:multiLevelType w:val="hybridMultilevel"/>
    <w:tmpl w:val="2CB21F2A"/>
    <w:lvl w:ilvl="0" w:tplc="9F0C10E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50"/>
    <w:rsid w:val="00171DEC"/>
    <w:rsid w:val="006316EA"/>
    <w:rsid w:val="00B801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15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15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JLSL</cp:lastModifiedBy>
  <cp:revision>2</cp:revision>
  <dcterms:created xsi:type="dcterms:W3CDTF">2015-01-21T03:41:00Z</dcterms:created>
  <dcterms:modified xsi:type="dcterms:W3CDTF">2015-01-21T03:41:00Z</dcterms:modified>
</cp:coreProperties>
</file>