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C6D" w:rsidRDefault="00090C6D" w:rsidP="00090C6D">
      <w:pPr>
        <w:spacing w:afterLines="50" w:after="180" w:line="360" w:lineRule="exact"/>
        <w:jc w:val="center"/>
      </w:pPr>
      <w:bookmarkStart w:id="0" w:name="_GoBack"/>
      <w:bookmarkEnd w:id="0"/>
      <w:r w:rsidRPr="0001267A">
        <w:rPr>
          <w:rFonts w:ascii="標楷體" w:eastAsia="標楷體" w:hAnsi="標楷體" w:cs="標楷體" w:hint="eastAsia"/>
          <w:sz w:val="28"/>
          <w:szCs w:val="28"/>
        </w:rPr>
        <w:t>臺南市</w:t>
      </w:r>
      <w:r>
        <w:rPr>
          <w:rFonts w:ascii="標楷體" w:eastAsia="標楷體" w:hAnsi="標楷體" w:cs="標楷體" w:hint="eastAsia"/>
          <w:sz w:val="28"/>
          <w:szCs w:val="28"/>
        </w:rPr>
        <w:t>11月份交通事故分析解讀及事故防制策進作為</w:t>
      </w:r>
    </w:p>
    <w:p w:rsidR="00090C6D" w:rsidRDefault="00090C6D" w:rsidP="00090C6D">
      <w:pPr>
        <w:numPr>
          <w:ilvl w:val="0"/>
          <w:numId w:val="1"/>
        </w:numPr>
        <w:spacing w:beforeLines="50" w:before="180"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交通事故分析解讀：</w:t>
      </w:r>
    </w:p>
    <w:p w:rsidR="00090C6D" w:rsidRPr="00116A8C" w:rsidRDefault="00090C6D" w:rsidP="00090C6D">
      <w:pPr>
        <w:tabs>
          <w:tab w:val="left" w:pos="851"/>
        </w:tabs>
        <w:spacing w:beforeLines="50" w:before="180" w:line="500" w:lineRule="exact"/>
        <w:ind w:leftChars="309" w:left="742"/>
        <w:rPr>
          <w:rFonts w:ascii="標楷體" w:eastAsia="標楷體" w:hAnsi="標楷體"/>
          <w:sz w:val="28"/>
          <w:szCs w:val="28"/>
        </w:rPr>
      </w:pPr>
      <w:r w:rsidRPr="00116A8C">
        <w:rPr>
          <w:rFonts w:ascii="標楷體" w:eastAsia="標楷體" w:hAnsi="標楷體" w:hint="eastAsia"/>
          <w:sz w:val="28"/>
          <w:szCs w:val="28"/>
        </w:rPr>
        <w:t>104年度11月A1類道路交通事故發生20件死亡20人，肇事特性分析如下：</w:t>
      </w:r>
    </w:p>
    <w:p w:rsidR="00090C6D" w:rsidRPr="00116A8C" w:rsidRDefault="00090C6D" w:rsidP="00090C6D">
      <w:pPr>
        <w:tabs>
          <w:tab w:val="left" w:pos="851"/>
        </w:tabs>
        <w:spacing w:beforeLines="50" w:before="180" w:line="500" w:lineRule="exact"/>
        <w:ind w:leftChars="159" w:left="721" w:hangingChars="121" w:hanging="339"/>
        <w:rPr>
          <w:rFonts w:ascii="標楷體" w:eastAsia="標楷體" w:hAnsi="標楷體"/>
          <w:sz w:val="28"/>
          <w:szCs w:val="28"/>
        </w:rPr>
      </w:pPr>
      <w:r w:rsidRPr="00116A8C">
        <w:rPr>
          <w:rFonts w:ascii="標楷體" w:eastAsia="標楷體" w:hAnsi="標楷體" w:hint="eastAsia"/>
          <w:sz w:val="28"/>
          <w:szCs w:val="28"/>
        </w:rPr>
        <w:t>(一)、肇事時段分析：以16-18時、18-20時各發生3件最多。</w:t>
      </w:r>
    </w:p>
    <w:p w:rsidR="00090C6D" w:rsidRPr="00116A8C" w:rsidRDefault="00090C6D" w:rsidP="00090C6D">
      <w:pPr>
        <w:tabs>
          <w:tab w:val="left" w:pos="851"/>
        </w:tabs>
        <w:spacing w:beforeLines="50" w:before="180" w:line="500" w:lineRule="exact"/>
        <w:ind w:leftChars="158" w:left="595" w:hangingChars="77" w:hanging="216"/>
        <w:rPr>
          <w:rFonts w:ascii="標楷體" w:eastAsia="標楷體" w:hAnsi="標楷體"/>
          <w:sz w:val="28"/>
          <w:szCs w:val="28"/>
        </w:rPr>
      </w:pPr>
      <w:r w:rsidRPr="00116A8C">
        <w:rPr>
          <w:rFonts w:ascii="標楷體" w:eastAsia="標楷體" w:hAnsi="標楷體" w:hint="eastAsia"/>
          <w:sz w:val="28"/>
          <w:szCs w:val="28"/>
        </w:rPr>
        <w:t>(二)肇事原因分析：以未注意車前狀況發生10件最多。</w:t>
      </w:r>
    </w:p>
    <w:p w:rsidR="00090C6D" w:rsidRPr="00116A8C" w:rsidRDefault="00090C6D" w:rsidP="00090C6D">
      <w:pPr>
        <w:tabs>
          <w:tab w:val="left" w:pos="851"/>
        </w:tabs>
        <w:spacing w:beforeLines="50" w:before="180" w:line="500" w:lineRule="exact"/>
        <w:ind w:leftChars="158" w:left="875" w:hangingChars="177" w:hanging="496"/>
        <w:rPr>
          <w:rFonts w:ascii="標楷體" w:eastAsia="標楷體" w:hAnsi="標楷體"/>
          <w:sz w:val="28"/>
          <w:szCs w:val="28"/>
        </w:rPr>
      </w:pPr>
      <w:r w:rsidRPr="00116A8C">
        <w:rPr>
          <w:rFonts w:ascii="標楷體" w:eastAsia="標楷體" w:hAnsi="標楷體" w:hint="eastAsia"/>
          <w:sz w:val="28"/>
          <w:szCs w:val="28"/>
        </w:rPr>
        <w:t>(三)肇事車種分析：以機車發生10件最多。(未戴安帽編號7、18、20)。</w:t>
      </w:r>
    </w:p>
    <w:p w:rsidR="00090C6D" w:rsidRPr="00116A8C" w:rsidRDefault="00090C6D" w:rsidP="00090C6D">
      <w:pPr>
        <w:tabs>
          <w:tab w:val="left" w:pos="851"/>
        </w:tabs>
        <w:spacing w:beforeLines="50" w:before="180" w:line="500" w:lineRule="exact"/>
        <w:ind w:leftChars="158" w:left="1015" w:hangingChars="227" w:hanging="636"/>
        <w:rPr>
          <w:rFonts w:ascii="標楷體" w:eastAsia="標楷體" w:hAnsi="標楷體"/>
          <w:sz w:val="28"/>
          <w:szCs w:val="28"/>
        </w:rPr>
      </w:pPr>
      <w:r w:rsidRPr="00116A8C">
        <w:rPr>
          <w:rFonts w:ascii="標楷體" w:eastAsia="標楷體" w:hAnsi="標楷體" w:hint="eastAsia"/>
          <w:sz w:val="28"/>
          <w:szCs w:val="28"/>
        </w:rPr>
        <w:t>(四)道路類別及型態分析：以市區道路(類別)發生16件最多，直路(型態)發生9件最多。</w:t>
      </w:r>
    </w:p>
    <w:p w:rsidR="00090C6D" w:rsidRPr="00116A8C" w:rsidRDefault="00090C6D" w:rsidP="00090C6D">
      <w:pPr>
        <w:tabs>
          <w:tab w:val="left" w:pos="851"/>
        </w:tabs>
        <w:spacing w:beforeLines="50" w:before="180" w:line="500" w:lineRule="exact"/>
        <w:ind w:leftChars="158" w:left="1015" w:hangingChars="227" w:hanging="636"/>
        <w:rPr>
          <w:rFonts w:ascii="標楷體" w:eastAsia="標楷體" w:hAnsi="標楷體"/>
          <w:sz w:val="28"/>
          <w:szCs w:val="28"/>
        </w:rPr>
      </w:pPr>
      <w:r w:rsidRPr="00116A8C">
        <w:rPr>
          <w:rFonts w:ascii="標楷體" w:eastAsia="標楷體" w:hAnsi="標楷體" w:hint="eastAsia"/>
          <w:sz w:val="28"/>
          <w:szCs w:val="28"/>
        </w:rPr>
        <w:t>(五)事故類型分析：人與車類型發生3件、自撞類型發生6件、車與車類型發生11件。</w:t>
      </w:r>
    </w:p>
    <w:p w:rsidR="00090C6D" w:rsidRPr="00116A8C" w:rsidRDefault="00090C6D" w:rsidP="00090C6D">
      <w:pPr>
        <w:tabs>
          <w:tab w:val="left" w:pos="851"/>
        </w:tabs>
        <w:spacing w:beforeLines="50" w:before="180" w:line="500" w:lineRule="exact"/>
        <w:ind w:leftChars="158" w:left="595" w:hangingChars="77" w:hanging="216"/>
        <w:rPr>
          <w:rFonts w:ascii="標楷體" w:eastAsia="標楷體" w:hAnsi="標楷體"/>
          <w:sz w:val="28"/>
          <w:szCs w:val="28"/>
        </w:rPr>
      </w:pPr>
      <w:r w:rsidRPr="00116A8C">
        <w:rPr>
          <w:rFonts w:ascii="標楷體" w:eastAsia="標楷體" w:hAnsi="標楷體" w:hint="eastAsia"/>
          <w:sz w:val="28"/>
          <w:szCs w:val="28"/>
        </w:rPr>
        <w:t>(六)死亡者年齡層分析：30-39歲、50-59各死亡4人最多(65歲5人)。</w:t>
      </w:r>
    </w:p>
    <w:p w:rsidR="00090C6D" w:rsidRPr="00116A8C" w:rsidRDefault="00090C6D" w:rsidP="00090C6D">
      <w:pPr>
        <w:tabs>
          <w:tab w:val="left" w:pos="851"/>
        </w:tabs>
        <w:spacing w:beforeLines="50" w:before="180" w:line="500" w:lineRule="exact"/>
        <w:ind w:leftChars="158" w:left="1017" w:hangingChars="228" w:hanging="638"/>
        <w:rPr>
          <w:rFonts w:ascii="標楷體" w:eastAsia="標楷體" w:hAnsi="標楷體"/>
          <w:sz w:val="28"/>
          <w:szCs w:val="28"/>
        </w:rPr>
      </w:pPr>
      <w:r w:rsidRPr="00116A8C">
        <w:rPr>
          <w:rFonts w:ascii="標楷體" w:eastAsia="標楷體" w:hAnsi="標楷體" w:hint="eastAsia"/>
          <w:sz w:val="28"/>
          <w:szCs w:val="28"/>
        </w:rPr>
        <w:t>(七)學生涉及肇事計6人(大學(研究)生3人死亡1人受傷及高中生1人死亡1人受傷)。(編號1、5、13、24)。</w:t>
      </w:r>
    </w:p>
    <w:p w:rsidR="00090C6D" w:rsidRPr="00116A8C" w:rsidRDefault="00090C6D" w:rsidP="00090C6D">
      <w:pPr>
        <w:tabs>
          <w:tab w:val="left" w:pos="851"/>
        </w:tabs>
        <w:spacing w:beforeLines="50" w:before="180" w:line="500" w:lineRule="exact"/>
        <w:ind w:leftChars="208" w:left="499"/>
        <w:rPr>
          <w:rFonts w:ascii="標楷體" w:eastAsia="標楷體" w:hAnsi="標楷體"/>
          <w:sz w:val="28"/>
          <w:szCs w:val="28"/>
        </w:rPr>
      </w:pPr>
      <w:r w:rsidRPr="00116A8C">
        <w:rPr>
          <w:rFonts w:ascii="標楷體" w:eastAsia="標楷體" w:hAnsi="標楷體" w:hint="eastAsia"/>
          <w:sz w:val="28"/>
          <w:szCs w:val="28"/>
        </w:rPr>
        <w:t>(八)主要肇因為酒後駕車失控案件未發生。</w:t>
      </w:r>
    </w:p>
    <w:p w:rsidR="00090C6D" w:rsidRPr="00116A8C" w:rsidRDefault="00090C6D" w:rsidP="00090C6D">
      <w:pPr>
        <w:spacing w:beforeLines="50" w:before="180" w:line="500" w:lineRule="exact"/>
        <w:ind w:leftChars="1" w:left="993" w:hangingChars="354" w:hanging="991"/>
        <w:rPr>
          <w:rFonts w:ascii="標楷體" w:eastAsia="標楷體" w:hAnsi="標楷體"/>
          <w:sz w:val="28"/>
          <w:szCs w:val="28"/>
        </w:rPr>
      </w:pPr>
      <w:r w:rsidRPr="00116A8C">
        <w:rPr>
          <w:rFonts w:ascii="標楷體" w:eastAsia="標楷體" w:hAnsi="標楷體" w:cs="標楷體" w:hint="eastAsia"/>
          <w:sz w:val="28"/>
          <w:szCs w:val="28"/>
        </w:rPr>
        <w:t>二、交通事故防制策進作為：</w:t>
      </w:r>
    </w:p>
    <w:p w:rsidR="00090C6D" w:rsidRPr="00116A8C" w:rsidRDefault="00090C6D" w:rsidP="00090C6D">
      <w:pPr>
        <w:tabs>
          <w:tab w:val="left" w:pos="851"/>
        </w:tabs>
        <w:spacing w:beforeLines="50" w:before="180" w:line="500" w:lineRule="exact"/>
        <w:ind w:leftChars="216" w:left="798" w:hangingChars="100" w:hanging="2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16A8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.統計本(11)月死亡交通事故資料顯示，自撞、自摔案件計發生6件，造成6人死亡，占全部交通事故死亡人數30％。分析駕駛人自撞、自摔案件肇事原因為駕駛疏忽、未注意車前狀況及酒後駕車等。許多人為了日常生計而日夜奔波勞碌，在駕駛行為表現上會有注意力不集中、精神渙散等情形，尤其隨著天候不佳、視線不良，倘若稍有疏失，很容易就發生碰撞橋墩、路</w:t>
      </w:r>
      <w:r w:rsidRPr="00116A8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旁固定物或自行摔倒交通事故，為了有效防制交通事故，確保交通安全，本局利用各種宣導機會，特別呼籲駕駛朋友，熬夜疲勞、宿醉未醒、生病服藥或情緒不穩定，千萬不要駕車上路，天候不佳時(尤其雨天、地面有積水時)，應確實減速慢行，轉彎時亦應提前使用方向燈，以適時提醒他車注意。另外特別提醒駕駛人</w:t>
      </w:r>
      <w:r w:rsidRPr="00116A8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切勿超速、逆向行駛，並保持適當安全距離及間隔；夜間行駛務必開啟大燈，隨時注意前方狀況，採取必要之安全措施，以維用路安全。</w:t>
      </w:r>
    </w:p>
    <w:p w:rsidR="00090C6D" w:rsidRPr="00116A8C" w:rsidRDefault="00090C6D" w:rsidP="00090C6D">
      <w:pPr>
        <w:tabs>
          <w:tab w:val="left" w:pos="851"/>
        </w:tabs>
        <w:spacing w:beforeLines="50" w:before="180" w:line="500" w:lineRule="exact"/>
        <w:ind w:leftChars="300" w:left="1000" w:hangingChars="100" w:hanging="280"/>
        <w:rPr>
          <w:rFonts w:ascii="標楷體" w:eastAsia="標楷體" w:hAnsi="標楷體"/>
          <w:b/>
          <w:sz w:val="28"/>
          <w:szCs w:val="28"/>
        </w:rPr>
      </w:pPr>
      <w:r w:rsidRPr="00116A8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2.本月</w:t>
      </w:r>
      <w:r w:rsidRPr="00116A8C">
        <w:rPr>
          <w:rFonts w:ascii="標楷體" w:eastAsia="標楷體" w:hAnsi="標楷體" w:hint="eastAsia"/>
          <w:color w:val="000000"/>
          <w:sz w:val="28"/>
          <w:szCs w:val="28"/>
        </w:rPr>
        <w:t>共發生2件</w:t>
      </w:r>
      <w:r w:rsidRPr="00116A8C">
        <w:rPr>
          <w:rFonts w:ascii="標楷體" w:eastAsia="標楷體" w:hAnsi="標楷體" w:hint="eastAsia"/>
          <w:sz w:val="28"/>
          <w:szCs w:val="28"/>
        </w:rPr>
        <w:t>自行車A1類交通事故，</w:t>
      </w:r>
      <w:r>
        <w:rPr>
          <w:rFonts w:ascii="標楷體" w:eastAsia="標楷體" w:hAnsi="標楷體" w:hint="eastAsia"/>
          <w:sz w:val="28"/>
          <w:szCs w:val="28"/>
        </w:rPr>
        <w:t>請於辦理各項活動時提醒</w:t>
      </w:r>
      <w:r w:rsidRPr="00116A8C">
        <w:rPr>
          <w:rFonts w:ascii="標楷體" w:eastAsia="標楷體" w:hAnsi="標楷體" w:hint="eastAsia"/>
          <w:sz w:val="28"/>
          <w:szCs w:val="28"/>
        </w:rPr>
        <w:t>高齡者安裝自行車後座警示燈，提高自行車早晨及黃昏行駛的</w:t>
      </w:r>
      <w:r w:rsidRPr="00116A8C">
        <w:rPr>
          <w:rFonts w:ascii="標楷體" w:eastAsia="標楷體" w:hAnsi="標楷體" w:hint="eastAsia"/>
          <w:color w:val="000000"/>
          <w:sz w:val="28"/>
          <w:szCs w:val="28"/>
        </w:rPr>
        <w:t>辨</w:t>
      </w:r>
      <w:r w:rsidRPr="00116A8C">
        <w:rPr>
          <w:rFonts w:ascii="標楷體" w:eastAsia="標楷體" w:hAnsi="標楷體" w:hint="eastAsia"/>
          <w:sz w:val="28"/>
          <w:szCs w:val="28"/>
        </w:rPr>
        <w:t>視度，有效防制事故發生，以保障用路人安全。</w:t>
      </w:r>
    </w:p>
    <w:p w:rsidR="00F75587" w:rsidRPr="00090C6D" w:rsidRDefault="00F75587"/>
    <w:sectPr w:rsidR="00F75587" w:rsidRPr="00090C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F1CF4"/>
    <w:multiLevelType w:val="hybridMultilevel"/>
    <w:tmpl w:val="2CB21F2A"/>
    <w:lvl w:ilvl="0" w:tplc="9F0C10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C6D"/>
    <w:rsid w:val="00090C6D"/>
    <w:rsid w:val="007909CA"/>
    <w:rsid w:val="00F7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JLSL</cp:lastModifiedBy>
  <cp:revision>2</cp:revision>
  <dcterms:created xsi:type="dcterms:W3CDTF">2015-12-23T00:25:00Z</dcterms:created>
  <dcterms:modified xsi:type="dcterms:W3CDTF">2015-12-23T00:25:00Z</dcterms:modified>
</cp:coreProperties>
</file>