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F4" w:rsidRDefault="0097796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年度國中圖書館閱讀推動教師教育訓練－初階課程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線上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bookmarkEnd w:id="0"/>
    <w:p w:rsidR="00AA55F4" w:rsidRDefault="0097796D">
      <w:pPr>
        <w:ind w:left="425" w:right="-197" w:hanging="425"/>
      </w:pPr>
      <w:r>
        <w:rPr>
          <w:rFonts w:ascii="Times New Roman" w:eastAsia="標楷體" w:hAnsi="Times New Roman"/>
        </w:rPr>
        <w:t>壹、活動目標：</w:t>
      </w:r>
      <w:r>
        <w:rPr>
          <w:rFonts w:ascii="標楷體" w:eastAsia="標楷體" w:hAnsi="標楷體"/>
        </w:rPr>
        <w:t>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AA55F4" w:rsidRDefault="0097796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貳、指導單位：教育部國民及學前教育署</w:t>
      </w:r>
    </w:p>
    <w:p w:rsidR="00AA55F4" w:rsidRDefault="0097796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參、主辦單位：國立臺灣師範大學圖書資訊學研究所</w:t>
      </w:r>
    </w:p>
    <w:p w:rsidR="00AA55F4" w:rsidRDefault="0097796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肆、研習對象：</w:t>
      </w:r>
    </w:p>
    <w:p w:rsidR="00AA55F4" w:rsidRDefault="0097796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學年度增置國民中小學圖書館閱讀推動教師計畫」之國民中學圖書教師及學校閱讀團隊老師，每校至多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名。</w:t>
      </w:r>
    </w:p>
    <w:p w:rsidR="00AA55F4" w:rsidRDefault="0097796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學年度自行補助之國民中學圖書教師及學校閱讀團隊老師，以各縣市政府提供之補助學校名單為主，每校至多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名。</w:t>
      </w:r>
    </w:p>
    <w:p w:rsidR="00AA55F4" w:rsidRDefault="0097796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三、對本課程有興趣的國民中學教師。</w:t>
      </w:r>
    </w:p>
    <w:p w:rsidR="00AA55F4" w:rsidRDefault="0097796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</w:t>
      </w:r>
      <w:r>
        <w:rPr>
          <w:rFonts w:ascii="Times New Roman" w:eastAsia="標楷體" w:hAnsi="Times New Roman"/>
        </w:rPr>
        <w:t>Google Meet</w:t>
      </w:r>
      <w:r>
        <w:rPr>
          <w:rFonts w:ascii="Times New Roman" w:eastAsia="標楷體" w:hAnsi="Times New Roman"/>
        </w:rPr>
        <w:t>線上課程</w:t>
      </w:r>
    </w:p>
    <w:p w:rsidR="00AA55F4" w:rsidRDefault="0097796D">
      <w:pPr>
        <w:spacing w:before="50" w:line="420" w:lineRule="exact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第一場：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)-7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，名額：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名</w:t>
      </w:r>
    </w:p>
    <w:p w:rsidR="00AA55F4" w:rsidRDefault="0097796D">
      <w:pPr>
        <w:spacing w:before="50" w:line="420" w:lineRule="exact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第二場：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)-7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，名</w:t>
      </w:r>
      <w:r>
        <w:rPr>
          <w:rFonts w:ascii="標楷體" w:eastAsia="標楷體" w:hAnsi="標楷體"/>
        </w:rPr>
        <w:t>額：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名</w:t>
      </w:r>
    </w:p>
    <w:p w:rsidR="00AA55F4" w:rsidRDefault="0097796D">
      <w:pPr>
        <w:spacing w:before="50" w:line="420" w:lineRule="exact"/>
        <w:ind w:left="1841" w:hanging="1841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偏遠學校場：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)-8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，名額：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優先錄取偏遠學校之圖書教師及團隊，邀請校長、主任一同報名參加。</w:t>
      </w:r>
      <w:r>
        <w:rPr>
          <w:rFonts w:ascii="標楷體" w:eastAsia="標楷體" w:hAnsi="標楷體"/>
        </w:rPr>
        <w:t>)</w:t>
      </w:r>
    </w:p>
    <w:p w:rsidR="00AA55F4" w:rsidRDefault="0097796D">
      <w:pPr>
        <w:spacing w:before="50" w:line="420" w:lineRule="exact"/>
      </w:pPr>
      <w:r>
        <w:rPr>
          <w:rFonts w:ascii="標楷體" w:eastAsia="標楷體" w:hAnsi="標楷體"/>
        </w:rPr>
        <w:t>柒、報名方式：請至全國教師在職進修網填寫報名表</w:t>
      </w:r>
      <w:r>
        <w:rPr>
          <w:rFonts w:ascii="標楷體" w:eastAsia="標楷體" w:hAnsi="標楷體"/>
        </w:rPr>
        <w:t>(</w:t>
      </w:r>
      <w:hyperlink r:id="rId8" w:history="1">
        <w:r>
          <w:rPr>
            <w:rFonts w:ascii="標楷體" w:eastAsia="標楷體" w:hAnsi="標楷體"/>
          </w:rPr>
          <w:t>http://www.inservice.edu.tw/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</w:t>
      </w:r>
    </w:p>
    <w:p w:rsidR="00AA55F4" w:rsidRDefault="0097796D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一、課程代碼：</w:t>
      </w:r>
    </w:p>
    <w:p w:rsidR="00AA55F4" w:rsidRDefault="0097796D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第一場：</w:t>
      </w:r>
      <w:r>
        <w:rPr>
          <w:rFonts w:ascii="標楷體" w:eastAsia="標楷體" w:hAnsi="標楷體"/>
        </w:rPr>
        <w:t>2870557</w:t>
      </w:r>
      <w:r>
        <w:rPr>
          <w:rFonts w:ascii="標楷體" w:eastAsia="標楷體" w:hAnsi="標楷體"/>
        </w:rPr>
        <w:t>，報名日期：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止</w:t>
      </w:r>
    </w:p>
    <w:p w:rsidR="00AA55F4" w:rsidRDefault="0097796D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第二場：</w:t>
      </w:r>
      <w:r>
        <w:rPr>
          <w:rFonts w:ascii="標楷體" w:eastAsia="標楷體" w:hAnsi="標楷體"/>
        </w:rPr>
        <w:t>2870562</w:t>
      </w:r>
      <w:r>
        <w:rPr>
          <w:rFonts w:ascii="標楷體" w:eastAsia="標楷體" w:hAnsi="標楷體"/>
        </w:rPr>
        <w:t>，報名日期：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止</w:t>
      </w:r>
    </w:p>
    <w:p w:rsidR="00AA55F4" w:rsidRDefault="0097796D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偏遠學校場：</w:t>
      </w:r>
      <w:r>
        <w:rPr>
          <w:rFonts w:ascii="標楷體" w:eastAsia="標楷體" w:hAnsi="標楷體"/>
        </w:rPr>
        <w:t>2870569</w:t>
      </w:r>
      <w:r>
        <w:rPr>
          <w:rFonts w:ascii="標楷體" w:eastAsia="標楷體" w:hAnsi="標楷體"/>
        </w:rPr>
        <w:t>，報名日期：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止</w:t>
      </w:r>
    </w:p>
    <w:p w:rsidR="00AA55F4" w:rsidRDefault="0097796D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二、活動聯絡人：趙子萱</w:t>
      </w:r>
      <w:r>
        <w:rPr>
          <w:rFonts w:ascii="標楷體" w:eastAsia="標楷體" w:hAnsi="標楷體"/>
        </w:rPr>
        <w:t xml:space="preserve">(catchao0819@gmail.com)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(02)7749-5428</w:t>
      </w:r>
    </w:p>
    <w:p w:rsidR="00AA55F4" w:rsidRDefault="0097796D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AA55F4" w:rsidRDefault="0097796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AA55F4" w:rsidRDefault="0097796D">
      <w:pPr>
        <w:ind w:left="905" w:hanging="425"/>
      </w:pPr>
      <w:r>
        <w:rPr>
          <w:rFonts w:ascii="Times New Roman" w:eastAsia="標楷體" w:hAnsi="Times New Roman"/>
        </w:rPr>
        <w:t>二、課程結束後，將依線上簽到表記錄，核予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AA55F4" w:rsidRDefault="0097796D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AA55F4" w:rsidRDefault="0097796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AA55F4" w:rsidRDefault="0097796D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簽到退方式：</w:t>
      </w:r>
    </w:p>
    <w:p w:rsidR="00AA55F4" w:rsidRDefault="0097796D">
      <w:pPr>
        <w:pStyle w:val="a7"/>
        <w:numPr>
          <w:ilvl w:val="0"/>
          <w:numId w:val="2"/>
        </w:numPr>
        <w:ind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AA55F4" w:rsidRDefault="0097796D">
      <w:pPr>
        <w:pStyle w:val="a7"/>
        <w:numPr>
          <w:ilvl w:val="0"/>
          <w:numId w:val="2"/>
        </w:numPr>
        <w:ind w:left="1276" w:hanging="283"/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</w:t>
      </w:r>
      <w:r>
        <w:rPr>
          <w:rFonts w:ascii="Times New Roman" w:eastAsia="標楷體" w:hAnsi="Times New Roman"/>
          <w:b/>
          <w:u w:val="single"/>
        </w:rPr>
        <w:t>單，即視為沒有簽退</w:t>
      </w:r>
      <w:r>
        <w:rPr>
          <w:rFonts w:ascii="Times New Roman" w:eastAsia="標楷體" w:hAnsi="Times New Roman"/>
        </w:rPr>
        <w:t>。</w:t>
      </w:r>
    </w:p>
    <w:p w:rsidR="00AA55F4" w:rsidRDefault="0097796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</w:t>
      </w:r>
      <w:r>
        <w:rPr>
          <w:rFonts w:ascii="Times New Roman" w:eastAsia="標楷體" w:hAnsi="Times New Roman"/>
        </w:rPr>
        <w:lastRenderedPageBreak/>
        <w:t>認，若真的沒有收到通知信，請與活動承辦人聯絡。</w:t>
      </w:r>
    </w:p>
    <w:p w:rsidR="00AA55F4" w:rsidRDefault="0097796D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標楷體" w:eastAsia="標楷體" w:hAnsi="標楷體"/>
          <w:color w:val="000000"/>
        </w:rPr>
        <w:t>完整課程資訊請至以下網址查閱：</w:t>
      </w:r>
      <w:hyperlink r:id="rId9" w:history="1">
        <w:r>
          <w:rPr>
            <w:rStyle w:val="a8"/>
          </w:rPr>
          <w:t>https://sites.google.com/view/teacherlibrariantw2/c</w:t>
        </w:r>
        <w:r>
          <w:rPr>
            <w:rStyle w:val="a8"/>
          </w:rPr>
          <w:t>lassinform/109junior_summer?authuser=0</w:t>
        </w:r>
      </w:hyperlink>
    </w:p>
    <w:p w:rsidR="00AA55F4" w:rsidRDefault="00AA55F4">
      <w:pPr>
        <w:ind w:left="425" w:hanging="425"/>
        <w:rPr>
          <w:rFonts w:ascii="Times New Roman" w:eastAsia="標楷體" w:hAnsi="Times New Roman"/>
          <w:kern w:val="0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  <w:kern w:val="0"/>
        </w:rPr>
      </w:pPr>
    </w:p>
    <w:p w:rsidR="00AA55F4" w:rsidRDefault="0097796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tbl>
      <w:tblPr>
        <w:tblW w:w="78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4594"/>
      </w:tblGrid>
      <w:tr w:rsidR="00AA55F4">
        <w:tblPrEx>
          <w:tblCellMar>
            <w:top w:w="0" w:type="dxa"/>
            <w:bottom w:w="0" w:type="dxa"/>
          </w:tblCellMar>
        </w:tblPrEx>
        <w:trPr>
          <w:trHeight w:val="390"/>
          <w:tblHeader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23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AA55F4" w:rsidRDefault="00AA55F4"/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rPr>
          <w:rFonts w:ascii="Times New Roman" w:eastAsia="標楷體" w:hAnsi="Times New Roman"/>
        </w:rPr>
      </w:pPr>
    </w:p>
    <w:p w:rsidR="00AA55F4" w:rsidRDefault="00AA55F4">
      <w:pPr>
        <w:rPr>
          <w:rFonts w:ascii="Times New Roman" w:eastAsia="標楷體" w:hAnsi="Times New Roman"/>
        </w:rPr>
      </w:pPr>
    </w:p>
    <w:p w:rsidR="00AA55F4" w:rsidRDefault="00AA55F4">
      <w:pPr>
        <w:rPr>
          <w:rFonts w:ascii="Times New Roman" w:eastAsia="標楷體" w:hAnsi="Times New Roman"/>
        </w:rPr>
      </w:pPr>
    </w:p>
    <w:p w:rsidR="00AA55F4" w:rsidRDefault="00AA55F4">
      <w:pPr>
        <w:rPr>
          <w:rFonts w:ascii="Times New Roman" w:eastAsia="標楷體" w:hAnsi="Times New Roman"/>
        </w:rPr>
      </w:pPr>
    </w:p>
    <w:p w:rsidR="00AA55F4" w:rsidRDefault="00AA55F4">
      <w:pPr>
        <w:rPr>
          <w:rFonts w:ascii="Times New Roman" w:eastAsia="標楷體" w:hAnsi="Times New Roman"/>
        </w:rPr>
      </w:pPr>
    </w:p>
    <w:p w:rsidR="00AA55F4" w:rsidRDefault="00AA55F4">
      <w:pPr>
        <w:rPr>
          <w:rFonts w:ascii="Times New Roman" w:eastAsia="標楷體" w:hAnsi="Times New Roman"/>
        </w:rPr>
      </w:pPr>
    </w:p>
    <w:p w:rsidR="00AA55F4" w:rsidRDefault="00AA55F4">
      <w:pPr>
        <w:rPr>
          <w:rFonts w:ascii="Times New Roman" w:eastAsia="標楷體" w:hAnsi="Times New Roman"/>
        </w:rPr>
      </w:pPr>
    </w:p>
    <w:p w:rsidR="00AA55F4" w:rsidRDefault="00AA55F4">
      <w:pPr>
        <w:rPr>
          <w:rFonts w:ascii="Times New Roman" w:eastAsia="標楷體" w:hAnsi="Times New Roman"/>
        </w:rPr>
      </w:pPr>
    </w:p>
    <w:p w:rsidR="00AA55F4" w:rsidRDefault="00AA55F4">
      <w:pPr>
        <w:rPr>
          <w:rFonts w:ascii="Times New Roman" w:eastAsia="標楷體" w:hAnsi="Times New Roman"/>
        </w:rPr>
      </w:pPr>
    </w:p>
    <w:p w:rsidR="00AA55F4" w:rsidRDefault="00AA55F4">
      <w:pPr>
        <w:rPr>
          <w:rFonts w:ascii="Times New Roman" w:eastAsia="標楷體" w:hAnsi="Times New Roman"/>
        </w:rPr>
      </w:pPr>
    </w:p>
    <w:p w:rsidR="00AA55F4" w:rsidRDefault="0097796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tbl>
      <w:tblPr>
        <w:tblW w:w="80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718"/>
      </w:tblGrid>
      <w:tr w:rsidR="00AA55F4">
        <w:tblPrEx>
          <w:tblCellMar>
            <w:top w:w="0" w:type="dxa"/>
            <w:bottom w:w="0" w:type="dxa"/>
          </w:tblCellMar>
        </w:tblPrEx>
        <w:trPr>
          <w:trHeight w:val="390"/>
          <w:tblHeader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>午休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28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午休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97796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p w:rsidR="00AA55F4" w:rsidRDefault="00AA55F4">
      <w:pPr>
        <w:rPr>
          <w:rFonts w:ascii="Times New Roman" w:eastAsia="標楷體" w:hAnsi="Times New Roman"/>
        </w:rPr>
      </w:pPr>
    </w:p>
    <w:tbl>
      <w:tblPr>
        <w:tblW w:w="7938" w:type="dxa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4678"/>
      </w:tblGrid>
      <w:tr w:rsidR="00AA55F4">
        <w:tblPrEx>
          <w:tblCellMar>
            <w:top w:w="0" w:type="dxa"/>
            <w:bottom w:w="0" w:type="dxa"/>
          </w:tblCellMar>
        </w:tblPrEx>
        <w:trPr>
          <w:trHeight w:val="485"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>午休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午休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AA55F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F4" w:rsidRDefault="0097796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AA55F4" w:rsidRDefault="00AA55F4"/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p w:rsidR="00AA55F4" w:rsidRDefault="00AA55F4">
      <w:pPr>
        <w:ind w:left="425" w:hanging="425"/>
        <w:rPr>
          <w:rFonts w:ascii="Times New Roman" w:eastAsia="標楷體" w:hAnsi="Times New Roman"/>
        </w:rPr>
      </w:pPr>
    </w:p>
    <w:sectPr w:rsidR="00AA55F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6D" w:rsidRDefault="0097796D">
      <w:r>
        <w:separator/>
      </w:r>
    </w:p>
  </w:endnote>
  <w:endnote w:type="continuationSeparator" w:id="0">
    <w:p w:rsidR="0097796D" w:rsidRDefault="0097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6D" w:rsidRDefault="0097796D">
      <w:r>
        <w:rPr>
          <w:color w:val="000000"/>
        </w:rPr>
        <w:separator/>
      </w:r>
    </w:p>
  </w:footnote>
  <w:footnote w:type="continuationSeparator" w:id="0">
    <w:p w:rsidR="0097796D" w:rsidRDefault="0097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338"/>
    <w:multiLevelType w:val="multilevel"/>
    <w:tmpl w:val="4C6C1D1C"/>
    <w:lvl w:ilvl="0">
      <w:start w:val="2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B135423"/>
    <w:multiLevelType w:val="multilevel"/>
    <w:tmpl w:val="2F2061E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55F4"/>
    <w:rsid w:val="001F02E6"/>
    <w:rsid w:val="0097796D"/>
    <w:rsid w:val="00A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teacherlibrariantw2/classinform/109junior_summer?authuser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2020-06-02T06:54:00Z</cp:lastPrinted>
  <dcterms:created xsi:type="dcterms:W3CDTF">2020-06-22T08:47:00Z</dcterms:created>
  <dcterms:modified xsi:type="dcterms:W3CDTF">2020-06-22T08:47:00Z</dcterms:modified>
</cp:coreProperties>
</file>