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CE" w:rsidRDefault="003D02FB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臺南市</w:t>
      </w:r>
      <w:r w:rsidR="00783712">
        <w:rPr>
          <w:rFonts w:ascii="標楷體" w:eastAsia="標楷體" w:hAnsi="標楷體" w:hint="eastAsia"/>
          <w:color w:val="000000"/>
          <w:sz w:val="40"/>
          <w:szCs w:val="40"/>
        </w:rPr>
        <w:t>新化區正新</w:t>
      </w:r>
      <w:r>
        <w:rPr>
          <w:rFonts w:ascii="標楷體" w:eastAsia="標楷體" w:hAnsi="標楷體"/>
          <w:color w:val="000000"/>
          <w:sz w:val="40"/>
          <w:szCs w:val="40"/>
        </w:rPr>
        <w:t>國民小學學生獎懲實施要點</w:t>
      </w:r>
    </w:p>
    <w:p w:rsidR="00E01DCE" w:rsidRDefault="00E01DCE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7902DE" w:rsidRPr="007902DE" w:rsidRDefault="003D02FB" w:rsidP="007902DE">
      <w:pPr>
        <w:spacing w:line="42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中華民國104年9月24日南市教安(一)字第1040966264A號函頒</w:t>
      </w:r>
    </w:p>
    <w:p w:rsidR="007902DE" w:rsidRPr="00112DA4" w:rsidRDefault="007902DE" w:rsidP="007902DE">
      <w:pPr>
        <w:widowControl/>
        <w:wordWrap w:val="0"/>
        <w:spacing w:line="24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112DA4">
        <w:rPr>
          <w:rFonts w:ascii="標楷體" w:eastAsia="標楷體" w:hAnsi="標楷體" w:hint="eastAsia"/>
          <w:color w:val="FF0000"/>
          <w:kern w:val="0"/>
        </w:rPr>
        <w:t>中華民國</w:t>
      </w:r>
      <w:r>
        <w:rPr>
          <w:rFonts w:ascii="標楷體" w:eastAsia="標楷體" w:hAnsi="標楷體" w:hint="eastAsia"/>
          <w:color w:val="FF0000"/>
          <w:kern w:val="0"/>
        </w:rPr>
        <w:t xml:space="preserve"> </w:t>
      </w:r>
      <w:r>
        <w:rPr>
          <w:rFonts w:ascii="標楷體" w:eastAsia="標楷體" w:hAnsi="標楷體"/>
          <w:color w:val="FF0000"/>
          <w:kern w:val="0"/>
        </w:rPr>
        <w:t>11</w:t>
      </w:r>
      <w:r w:rsidR="00175902">
        <w:rPr>
          <w:rFonts w:ascii="標楷體" w:eastAsia="標楷體" w:hAnsi="標楷體" w:hint="eastAsia"/>
          <w:color w:val="FF0000"/>
          <w:kern w:val="0"/>
        </w:rPr>
        <w:t>3</w:t>
      </w:r>
      <w:r w:rsidRPr="00112DA4">
        <w:rPr>
          <w:rFonts w:ascii="標楷體" w:eastAsia="標楷體" w:hAnsi="標楷體" w:hint="eastAsia"/>
          <w:color w:val="FF0000"/>
          <w:kern w:val="0"/>
        </w:rPr>
        <w:t>年</w:t>
      </w:r>
      <w:r>
        <w:rPr>
          <w:rFonts w:ascii="標楷體" w:eastAsia="標楷體" w:hAnsi="標楷體" w:hint="eastAsia"/>
          <w:color w:val="FF0000"/>
          <w:kern w:val="0"/>
        </w:rPr>
        <w:t xml:space="preserve"> </w:t>
      </w:r>
      <w:r w:rsidR="00175902">
        <w:rPr>
          <w:rFonts w:ascii="標楷體" w:eastAsia="標楷體" w:hAnsi="標楷體" w:hint="eastAsia"/>
          <w:color w:val="FF0000"/>
          <w:kern w:val="0"/>
        </w:rPr>
        <w:t>8</w:t>
      </w:r>
      <w:bookmarkStart w:id="0" w:name="_GoBack"/>
      <w:bookmarkEnd w:id="0"/>
      <w:r w:rsidRPr="00112DA4">
        <w:rPr>
          <w:rFonts w:ascii="標楷體" w:eastAsia="標楷體" w:hAnsi="標楷體" w:hint="eastAsia"/>
          <w:color w:val="FF0000"/>
          <w:kern w:val="0"/>
        </w:rPr>
        <w:t>月</w:t>
      </w:r>
      <w:r>
        <w:rPr>
          <w:rFonts w:ascii="標楷體" w:eastAsia="標楷體" w:hAnsi="標楷體" w:hint="eastAsia"/>
          <w:color w:val="FF0000"/>
          <w:kern w:val="0"/>
        </w:rPr>
        <w:t xml:space="preserve"> </w:t>
      </w:r>
      <w:r w:rsidR="00E5697A">
        <w:rPr>
          <w:rFonts w:ascii="標楷體" w:eastAsia="標楷體" w:hAnsi="標楷體"/>
          <w:color w:val="FF0000"/>
          <w:kern w:val="0"/>
        </w:rPr>
        <w:t>30</w:t>
      </w:r>
      <w:r w:rsidRPr="00112DA4">
        <w:rPr>
          <w:rFonts w:ascii="標楷體" w:eastAsia="標楷體" w:hAnsi="標楷體" w:hint="eastAsia"/>
          <w:color w:val="FF0000"/>
          <w:kern w:val="0"/>
        </w:rPr>
        <w:t>日</w:t>
      </w:r>
      <w:r>
        <w:rPr>
          <w:rFonts w:ascii="標楷體" w:eastAsia="標楷體" w:hAnsi="標楷體" w:hint="eastAsia"/>
          <w:color w:val="FF0000"/>
          <w:kern w:val="0"/>
        </w:rPr>
        <w:t xml:space="preserve"> </w:t>
      </w:r>
      <w:r w:rsidRPr="00112DA4">
        <w:rPr>
          <w:rFonts w:ascii="標楷體" w:eastAsia="標楷體" w:hAnsi="標楷體" w:hint="eastAsia"/>
          <w:color w:val="FF0000"/>
          <w:kern w:val="0"/>
        </w:rPr>
        <w:t>校務會議</w:t>
      </w:r>
      <w:r>
        <w:rPr>
          <w:rFonts w:ascii="標楷體" w:eastAsia="標楷體" w:hAnsi="標楷體" w:hint="eastAsia"/>
          <w:color w:val="FF0000"/>
          <w:kern w:val="0"/>
        </w:rPr>
        <w:t xml:space="preserve"> </w:t>
      </w:r>
      <w:r>
        <w:rPr>
          <w:rFonts w:ascii="標楷體" w:eastAsia="標楷體" w:hAnsi="標楷體" w:hint="eastAsia"/>
          <w:color w:val="FF0000"/>
        </w:rPr>
        <w:t>通過</w:t>
      </w:r>
    </w:p>
    <w:p w:rsidR="007902DE" w:rsidRPr="007902DE" w:rsidRDefault="007902DE">
      <w:pPr>
        <w:spacing w:line="420" w:lineRule="exact"/>
        <w:jc w:val="right"/>
        <w:rPr>
          <w:rFonts w:ascii="標楷體" w:eastAsia="標楷體" w:hAnsi="標楷體"/>
          <w:color w:val="000000"/>
        </w:rPr>
      </w:pPr>
    </w:p>
    <w:p w:rsidR="00E01DCE" w:rsidRDefault="00E01DCE">
      <w:pPr>
        <w:spacing w:line="420" w:lineRule="exact"/>
        <w:jc w:val="right"/>
        <w:rPr>
          <w:rFonts w:ascii="標楷體" w:eastAsia="標楷體" w:hAnsi="標楷體"/>
          <w:color w:val="000000"/>
          <w:sz w:val="40"/>
          <w:szCs w:val="40"/>
        </w:rPr>
      </w:pP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本要點依國民教育法第二十點之一第一項訂定之。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獎懲與輔導作用意在鼓勵或糾正學生行為，培養學生優良品德，其實施應把握下列原則︰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(一)以獎勵及積極輔導方式導正學生行為。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(二)以公開獎勵方式作為學習楷模，視學生個別差異適當懲罰。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學校辦理學生獎懲與輔導時，應力求審慎客觀，公正合理處理。並參酌下列因素，以為獎懲輕重之標準︰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(一)年級之高低。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(二)身心之狀況。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(三)動機與目的。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(四)家庭之因素。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(五)平日之表現。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(六)初犯或累犯。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(七)行為後之表現。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(八)其他足以影響行為發生之因素。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學生違規行為，宜由導師先予妥適處理。學校處理學生獎懲事項時，應知會該生導師。</w:t>
      </w:r>
    </w:p>
    <w:p w:rsidR="00E01DCE" w:rsidRPr="006A4F24" w:rsidRDefault="003D02FB" w:rsidP="006A4F24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A4F24">
        <w:rPr>
          <w:rFonts w:ascii="標楷體" w:eastAsia="標楷體" w:hAnsi="標楷體"/>
          <w:color w:val="000000"/>
          <w:sz w:val="28"/>
          <w:szCs w:val="28"/>
        </w:rPr>
        <w:t>學校為辦理學生獎懲事項，應設學生獎懲委員會(以下簡稱獎懲會)，其委員應包含行政代表、家長代表及教師代表，其中家長代表不得少於五分之一，任一性別不得少於三分之一，獎懲會委員不得兼任學生申訴評議委員會委員，其組織及運作方式由學校訂定並經校務會議通過後實施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學校對學生之獎勵、懲罰與輔導措施如下︰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(一)獎勵︰</w:t>
      </w:r>
    </w:p>
    <w:p w:rsidR="00E01DCE" w:rsidRDefault="003D02FB">
      <w:pPr>
        <w:spacing w:line="4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1.口頭嘉勉。</w:t>
      </w:r>
    </w:p>
    <w:p w:rsidR="00E01DCE" w:rsidRDefault="003D02FB">
      <w:pPr>
        <w:spacing w:line="4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2.公開表揚。</w:t>
      </w:r>
    </w:p>
    <w:p w:rsidR="00E01DCE" w:rsidRDefault="003D02FB">
      <w:pPr>
        <w:spacing w:line="4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3.獎狀或獎品。</w:t>
      </w:r>
    </w:p>
    <w:p w:rsidR="00E01DCE" w:rsidRDefault="003D02FB">
      <w:pPr>
        <w:spacing w:line="4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4.依學校自行訂定之獎勵措施為其他特別獎勵。</w:t>
      </w:r>
    </w:p>
    <w:p w:rsidR="007902DE" w:rsidRDefault="007902DE">
      <w:pPr>
        <w:spacing w:line="4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(二)懲罰與輔導︰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1.勸導改過或口頭糾正。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2.課餘校內公共服務。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3.列入學生在校日常生活表現紀錄。</w:t>
      </w:r>
    </w:p>
    <w:p w:rsidR="006A4F24" w:rsidRDefault="003D02FB" w:rsidP="006A4F24">
      <w:pPr>
        <w:spacing w:line="420" w:lineRule="exact"/>
        <w:ind w:left="156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4.對於學生之不當行為表現，教師除得依學校訂定之教師輔導與管教學生辦法採取一般管教措施，並得視情節選擇下列各款之輔導，以導正學生行為︰</w:t>
      </w:r>
    </w:p>
    <w:p w:rsidR="006A4F24" w:rsidRDefault="003D02FB" w:rsidP="006A4F24">
      <w:pPr>
        <w:spacing w:line="420" w:lineRule="exact"/>
        <w:ind w:leftChars="100" w:left="240" w:firstLineChars="471" w:firstLine="131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(1)實施個別輔導。</w:t>
      </w:r>
    </w:p>
    <w:p w:rsidR="006A4F24" w:rsidRDefault="003D02FB" w:rsidP="006A4F24">
      <w:pPr>
        <w:spacing w:line="420" w:lineRule="exact"/>
        <w:ind w:leftChars="100" w:left="240" w:firstLineChars="471" w:firstLine="131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(2)轉介輔導。</w:t>
      </w:r>
    </w:p>
    <w:p w:rsidR="006A4F24" w:rsidRDefault="003D02FB" w:rsidP="006A4F24">
      <w:pPr>
        <w:spacing w:line="420" w:lineRule="exact"/>
        <w:ind w:leftChars="100" w:left="240" w:firstLineChars="471" w:firstLine="131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(3)通知家長或監護人協助指導或帶回管教。 </w:t>
      </w:r>
    </w:p>
    <w:p w:rsidR="00E01DCE" w:rsidRDefault="003D02FB" w:rsidP="006A4F24">
      <w:pPr>
        <w:spacing w:line="420" w:lineRule="exact"/>
        <w:ind w:leftChars="100" w:left="240" w:firstLineChars="471" w:firstLine="131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(4)改變學習環境。</w:t>
      </w:r>
    </w:p>
    <w:p w:rsidR="00E01DCE" w:rsidRDefault="003D02FB">
      <w:pPr>
        <w:spacing w:line="4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上述措施不得對學生身心造成傷害;惟在執行改變學習環境前，應經獎懲委員會審議通過。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獎懲會審議學生違規事件時，應秉公正及不公開原則，瞭解事實經過，並應給予學生及其家長、監護人或其他關係人陳述意見及列席說明之機會。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全校教職員工對學生獎懲事件均有提供相關資料之權利與義務，俾利學校依一定程序辦理獎懲事宜。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獎懲會為獎懲決議後，應做成決定書，記載事由、獎懲依據、結果及救濟方式，並通知學生及其家長或監護人，必要時得請家長或監護人配合輔導。 </w:t>
      </w:r>
    </w:p>
    <w:p w:rsidR="00E01DCE" w:rsidRDefault="003D02FB">
      <w:pPr>
        <w:spacing w:line="42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前項決定書應經校長核定後執行，校長對獎懲決議有不同意見時，應敘明理由送請獎懲會復議，校長對獎懲會復議結果仍不同意時，得敘明理由變更該結果後核定獎懲決議。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學校對學生違規事件處分後，應持續追蹤輔導，以協助學生改過遷善。</w:t>
      </w:r>
    </w:p>
    <w:p w:rsidR="00E01DCE" w:rsidRDefault="003D02FB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學生、家長或監護人對學校有關學生個人之獎懲，認為違法或不當致損害權益者，依臺南市高級中等以下學校學生申訴案件處理辦法辦理。</w:t>
      </w:r>
    </w:p>
    <w:p w:rsidR="00E01DCE" w:rsidRDefault="00E01DC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E01DC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E01DC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E01DC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E01DC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E01DC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E01DCE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01DCE" w:rsidRDefault="003D02FB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lastRenderedPageBreak/>
        <w:t>臺南市</w:t>
      </w:r>
      <w:r w:rsidR="00B402A1">
        <w:rPr>
          <w:rFonts w:ascii="標楷體" w:eastAsia="標楷體" w:hAnsi="標楷體" w:hint="eastAsia"/>
          <w:color w:val="000000"/>
          <w:sz w:val="40"/>
          <w:szCs w:val="40"/>
        </w:rPr>
        <w:t>新化區正新</w:t>
      </w:r>
      <w:r>
        <w:rPr>
          <w:rFonts w:ascii="標楷體" w:eastAsia="標楷體" w:hAnsi="標楷體"/>
          <w:color w:val="000000"/>
          <w:sz w:val="40"/>
          <w:szCs w:val="40"/>
        </w:rPr>
        <w:t>國民小學學生獎懲決定書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7786"/>
      </w:tblGrid>
      <w:tr w:rsidR="00E01DCE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DCE" w:rsidRDefault="003D02F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學生姓名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CE" w:rsidRDefault="00E01DC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E01DCE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DCE" w:rsidRDefault="003D02F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班級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CE" w:rsidRDefault="00E01DC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E01DCE">
        <w:trPr>
          <w:trHeight w:val="355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DCE" w:rsidRDefault="003D02F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事由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CE" w:rsidRDefault="00E01DC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E01DCE">
        <w:trPr>
          <w:trHeight w:val="162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DCE" w:rsidRDefault="003D02F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決定結果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CE" w:rsidRDefault="00E01DC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E01DCE">
        <w:trPr>
          <w:trHeight w:val="142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DCE" w:rsidRDefault="003D02F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獎懲依據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CE" w:rsidRDefault="00E01DC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E01DCE">
        <w:trPr>
          <w:trHeight w:val="242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DCE" w:rsidRDefault="003D02F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決定理由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CE" w:rsidRDefault="00E01DC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E01DCE">
        <w:trPr>
          <w:trHeight w:val="10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DCE" w:rsidRDefault="003D02F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救濟方式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CE" w:rsidRDefault="003D02FB">
            <w:pPr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受獎懲學生及其法定代理人如有不服，得於本決議書送達之次日起二十日內，以書面向學生申訴評議委員會提起申訴，逾期不受理。</w:t>
            </w:r>
          </w:p>
        </w:tc>
      </w:tr>
    </w:tbl>
    <w:p w:rsidR="00E01DCE" w:rsidRDefault="00E01DCE">
      <w:pPr>
        <w:spacing w:line="42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:rsidR="00E01DCE" w:rsidRDefault="00E01DCE">
      <w:pPr>
        <w:spacing w:line="42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:rsidR="00E01DCE" w:rsidRDefault="003D02FB">
      <w:pPr>
        <w:spacing w:line="420" w:lineRule="exact"/>
        <w:jc w:val="both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 xml:space="preserve">臺南市   </w:t>
      </w:r>
      <w:r w:rsidR="00B402A1">
        <w:rPr>
          <w:rFonts w:ascii="標楷體" w:eastAsia="標楷體" w:hAnsi="標楷體" w:hint="eastAsia"/>
          <w:color w:val="000000"/>
          <w:sz w:val="40"/>
          <w:szCs w:val="40"/>
        </w:rPr>
        <w:t xml:space="preserve">                 </w:t>
      </w:r>
      <w:r>
        <w:rPr>
          <w:rFonts w:ascii="標楷體" w:eastAsia="標楷體" w:hAnsi="標楷體"/>
          <w:color w:val="000000"/>
          <w:sz w:val="40"/>
          <w:szCs w:val="40"/>
        </w:rPr>
        <w:t xml:space="preserve">   國民小學（學校用印）</w:t>
      </w:r>
    </w:p>
    <w:p w:rsidR="00E01DCE" w:rsidRDefault="00E01DCE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E01DCE" w:rsidRDefault="00E01DCE">
      <w:pPr>
        <w:spacing w:line="42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E01DCE" w:rsidRDefault="003D02FB">
      <w:pPr>
        <w:spacing w:line="420" w:lineRule="exact"/>
        <w:jc w:val="center"/>
      </w:pPr>
      <w:r>
        <w:rPr>
          <w:rFonts w:ascii="標楷體" w:eastAsia="標楷體" w:hAnsi="標楷體"/>
          <w:color w:val="000000"/>
          <w:sz w:val="40"/>
          <w:szCs w:val="40"/>
        </w:rPr>
        <w:t>中華民國   年   月   日</w:t>
      </w:r>
    </w:p>
    <w:sectPr w:rsidR="00E01DC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42" w:rsidRDefault="00CC1B42">
      <w:r>
        <w:separator/>
      </w:r>
    </w:p>
  </w:endnote>
  <w:endnote w:type="continuationSeparator" w:id="0">
    <w:p w:rsidR="00CC1B42" w:rsidRDefault="00CC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42" w:rsidRDefault="00CC1B42">
      <w:r>
        <w:rPr>
          <w:color w:val="000000"/>
        </w:rPr>
        <w:separator/>
      </w:r>
    </w:p>
  </w:footnote>
  <w:footnote w:type="continuationSeparator" w:id="0">
    <w:p w:rsidR="00CC1B42" w:rsidRDefault="00CC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B190A"/>
    <w:multiLevelType w:val="multilevel"/>
    <w:tmpl w:val="A3B28F5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CE"/>
    <w:rsid w:val="00175902"/>
    <w:rsid w:val="00274DB4"/>
    <w:rsid w:val="003C26D7"/>
    <w:rsid w:val="003D02FB"/>
    <w:rsid w:val="006A4F24"/>
    <w:rsid w:val="00783712"/>
    <w:rsid w:val="007902DE"/>
    <w:rsid w:val="00B402A1"/>
    <w:rsid w:val="00CC1B42"/>
    <w:rsid w:val="00DF4F7F"/>
    <w:rsid w:val="00E01DCE"/>
    <w:rsid w:val="00E0681E"/>
    <w:rsid w:val="00E5697A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7ACB5"/>
  <w15:docId w15:val="{6DAF66CE-B36B-496D-9914-31274222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pPr>
      <w:spacing w:line="288" w:lineRule="auto"/>
    </w:pPr>
    <w:rPr>
      <w:rFonts w:ascii="標楷體" w:eastAsia="標楷體" w:hAnsi="標楷體" w:cs="DFKaiShu-SB-Estd-BF"/>
      <w:kern w:val="0"/>
      <w:sz w:val="26"/>
      <w:szCs w:val="26"/>
    </w:rPr>
  </w:style>
  <w:style w:type="paragraph" w:styleId="a3">
    <w:name w:val="footnote text"/>
    <w:basedOn w:val="a"/>
    <w:pPr>
      <w:snapToGrid w:val="0"/>
    </w:pPr>
    <w:rPr>
      <w:sz w:val="20"/>
      <w:szCs w:val="20"/>
    </w:rPr>
  </w:style>
  <w:style w:type="paragraph" w:customStyle="1" w:styleId="3">
    <w:name w:val="樣式3"/>
    <w:basedOn w:val="a"/>
    <w:next w:val="a3"/>
    <w:pPr>
      <w:spacing w:line="288" w:lineRule="auto"/>
    </w:pPr>
    <w:rPr>
      <w:rFonts w:ascii="標楷體" w:eastAsia="標楷體" w:hAnsi="標楷體" w:cs="DFKaiShu-SB-Estd-BF"/>
      <w:kern w:val="0"/>
      <w:sz w:val="26"/>
      <w:szCs w:val="26"/>
    </w:rPr>
  </w:style>
  <w:style w:type="paragraph" w:styleId="a4">
    <w:name w:val="Body Text"/>
    <w:basedOn w:val="a"/>
    <w:pPr>
      <w:spacing w:line="420" w:lineRule="exact"/>
    </w:pPr>
    <w:rPr>
      <w:b/>
      <w:bCs/>
      <w:sz w:val="40"/>
      <w:szCs w:val="4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rPr>
      <w:kern w:val="3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Pr>
      <w:rFonts w:ascii="細明體" w:eastAsia="細明體" w:hAnsi="細明體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styleId="ac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◎範例</dc:title>
  <dc:subject/>
  <dc:creator>user</dc:creator>
  <cp:lastModifiedBy>Roki</cp:lastModifiedBy>
  <cp:revision>4</cp:revision>
  <cp:lastPrinted>2015-09-23T08:26:00Z</cp:lastPrinted>
  <dcterms:created xsi:type="dcterms:W3CDTF">2021-06-30T23:50:00Z</dcterms:created>
  <dcterms:modified xsi:type="dcterms:W3CDTF">2025-01-02T08:30:00Z</dcterms:modified>
</cp:coreProperties>
</file>