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A3" w:rsidRPr="00D57BA3" w:rsidRDefault="00D57BA3" w:rsidP="00D57BA3">
      <w:pPr>
        <w:widowControl/>
        <w:spacing w:before="75" w:after="340" w:line="240" w:lineRule="auto"/>
        <w:outlineLvl w:val="3"/>
        <w:rPr>
          <w:rFonts w:ascii="新細明體" w:eastAsia="新細明體" w:hAnsi="新細明體" w:cs="新細明體"/>
          <w:b/>
          <w:bCs/>
          <w:kern w:val="0"/>
          <w:sz w:val="34"/>
          <w:szCs w:val="34"/>
        </w:rPr>
      </w:pPr>
      <w:r w:rsidRPr="00D57BA3">
        <w:rPr>
          <w:rFonts w:ascii="新細明體" w:eastAsia="新細明體" w:hAnsi="新細明體" w:cs="新細明體"/>
          <w:b/>
          <w:bCs/>
          <w:kern w:val="0"/>
          <w:sz w:val="34"/>
          <w:szCs w:val="34"/>
        </w:rPr>
        <w:t xml:space="preserve">國民小學及國民中學學生成績評量準則 </w:t>
      </w:r>
    </w:p>
    <w:p w:rsidR="00D57BA3" w:rsidRPr="00D57BA3" w:rsidRDefault="00D57BA3" w:rsidP="00D57BA3">
      <w:pPr>
        <w:widowControl/>
        <w:spacing w:after="240"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t xml:space="preserve">【公布日期】101.05.07 【公布機關】教育部 </w:t>
      </w:r>
    </w:p>
    <w:p w:rsidR="00D57BA3" w:rsidRPr="00D57BA3" w:rsidRDefault="00D57BA3" w:rsidP="00D57BA3">
      <w:pPr>
        <w:widowControl/>
        <w:spacing w:before="150" w:after="150" w:line="240" w:lineRule="auto"/>
        <w:outlineLvl w:val="4"/>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【法規沿革】</w:t>
      </w:r>
    </w:p>
    <w:p w:rsidR="00D57BA3" w:rsidRPr="00D57BA3" w:rsidRDefault="00D57BA3" w:rsidP="00D57BA3">
      <w:pPr>
        <w:widowControl/>
        <w:spacing w:after="240"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t>1</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中華民國九十年三月二十九日教育部（90）</w:t>
      </w:r>
      <w:proofErr w:type="gramStart"/>
      <w:r w:rsidRPr="00D57BA3">
        <w:rPr>
          <w:rFonts w:ascii="新細明體" w:eastAsia="新細明體" w:hAnsi="新細明體" w:cs="新細明體"/>
          <w:kern w:val="0"/>
          <w:szCs w:val="24"/>
        </w:rPr>
        <w:t>台參字第90042578</w:t>
      </w:r>
      <w:proofErr w:type="gramEnd"/>
      <w:r w:rsidRPr="00D57BA3">
        <w:rPr>
          <w:rFonts w:ascii="新細明體" w:eastAsia="新細明體" w:hAnsi="新細明體" w:cs="新細明體"/>
          <w:kern w:val="0"/>
          <w:szCs w:val="24"/>
        </w:rPr>
        <w:t>號令訂定發布全文14條；並自九十年八月一日起實施</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名稱：國民中小學學生成績評量準則</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 xml:space="preserve"> </w:t>
      </w:r>
      <w:r w:rsidRPr="00D57BA3">
        <w:rPr>
          <w:rFonts w:ascii="新細明體" w:eastAsia="新細明體" w:hAnsi="新細明體" w:cs="新細明體"/>
          <w:kern w:val="0"/>
          <w:szCs w:val="24"/>
        </w:rPr>
        <w:br/>
        <w:t>2</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中華民國九十三年十二月三十一日教育部</w:t>
      </w:r>
      <w:proofErr w:type="gramStart"/>
      <w:r w:rsidRPr="00D57BA3">
        <w:rPr>
          <w:rFonts w:ascii="新細明體" w:eastAsia="新細明體" w:hAnsi="新細明體" w:cs="新細明體"/>
          <w:kern w:val="0"/>
          <w:szCs w:val="24"/>
        </w:rPr>
        <w:t>台參字第0930175242</w:t>
      </w:r>
      <w:proofErr w:type="gramEnd"/>
      <w:r w:rsidRPr="00D57BA3">
        <w:rPr>
          <w:rFonts w:ascii="新細明體" w:eastAsia="新細明體" w:hAnsi="新細明體" w:cs="新細明體"/>
          <w:kern w:val="0"/>
          <w:szCs w:val="24"/>
        </w:rPr>
        <w:t xml:space="preserve">B號令修正發布名稱及全文12條；本準則修正條文自九十四年八月一日施行 </w:t>
      </w:r>
      <w:r w:rsidRPr="00D57BA3">
        <w:rPr>
          <w:rFonts w:ascii="新細明體" w:eastAsia="新細明體" w:hAnsi="新細明體" w:cs="新細明體"/>
          <w:kern w:val="0"/>
          <w:szCs w:val="24"/>
        </w:rPr>
        <w:br/>
        <w:t>3</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中華民國九十五年五月十日教育部</w:t>
      </w:r>
      <w:proofErr w:type="gramStart"/>
      <w:r w:rsidRPr="00D57BA3">
        <w:rPr>
          <w:rFonts w:ascii="新細明體" w:eastAsia="新細明體" w:hAnsi="新細明體" w:cs="新細明體"/>
          <w:kern w:val="0"/>
          <w:szCs w:val="24"/>
        </w:rPr>
        <w:t>台參字第0950064510</w:t>
      </w:r>
      <w:proofErr w:type="gramEnd"/>
      <w:r w:rsidRPr="00D57BA3">
        <w:rPr>
          <w:rFonts w:ascii="新細明體" w:eastAsia="新細明體" w:hAnsi="新細明體" w:cs="新細明體"/>
          <w:kern w:val="0"/>
          <w:szCs w:val="24"/>
        </w:rPr>
        <w:t>B號令修正發布第</w:t>
      </w:r>
      <w:hyperlink r:id="rId4" w:anchor="a3" w:history="1">
        <w:r w:rsidRPr="00D57BA3">
          <w:rPr>
            <w:rFonts w:ascii="新細明體" w:eastAsia="新細明體" w:hAnsi="新細明體" w:cs="新細明體"/>
            <w:color w:val="0000FF"/>
            <w:kern w:val="0"/>
            <w:szCs w:val="24"/>
            <w:u w:val="single"/>
          </w:rPr>
          <w:t>3</w:t>
        </w:r>
      </w:hyperlink>
      <w:r w:rsidRPr="00D57BA3">
        <w:rPr>
          <w:rFonts w:ascii="新細明體" w:eastAsia="新細明體" w:hAnsi="新細明體" w:cs="新細明體"/>
          <w:kern w:val="0"/>
          <w:szCs w:val="24"/>
        </w:rPr>
        <w:t>、</w:t>
      </w:r>
      <w:hyperlink r:id="rId5" w:anchor="a7" w:history="1">
        <w:r w:rsidRPr="00D57BA3">
          <w:rPr>
            <w:rFonts w:ascii="新細明體" w:eastAsia="新細明體" w:hAnsi="新細明體" w:cs="新細明體"/>
            <w:color w:val="0000FF"/>
            <w:kern w:val="0"/>
            <w:szCs w:val="24"/>
            <w:u w:val="single"/>
          </w:rPr>
          <w:t>7</w:t>
        </w:r>
      </w:hyperlink>
      <w:r w:rsidRPr="00D57BA3">
        <w:rPr>
          <w:rFonts w:ascii="新細明體" w:eastAsia="新細明體" w:hAnsi="新細明體" w:cs="新細明體"/>
          <w:kern w:val="0"/>
          <w:szCs w:val="24"/>
        </w:rPr>
        <w:t>、</w:t>
      </w:r>
      <w:hyperlink r:id="rId6" w:anchor="a12" w:history="1">
        <w:r w:rsidRPr="00D57BA3">
          <w:rPr>
            <w:rFonts w:ascii="新細明體" w:eastAsia="新細明體" w:hAnsi="新細明體" w:cs="新細明體"/>
            <w:color w:val="0000FF"/>
            <w:kern w:val="0"/>
            <w:szCs w:val="24"/>
            <w:u w:val="single"/>
          </w:rPr>
          <w:t>12</w:t>
        </w:r>
      </w:hyperlink>
      <w:r w:rsidRPr="00D57BA3">
        <w:rPr>
          <w:rFonts w:ascii="新細明體" w:eastAsia="新細明體" w:hAnsi="新細明體" w:cs="新細明體"/>
          <w:kern w:val="0"/>
          <w:szCs w:val="24"/>
        </w:rPr>
        <w:t xml:space="preserve">條條文；並自九十五年八月一日施行 </w:t>
      </w:r>
      <w:r w:rsidRPr="00D57BA3">
        <w:rPr>
          <w:rFonts w:ascii="新細明體" w:eastAsia="新細明體" w:hAnsi="新細明體" w:cs="新細明體"/>
          <w:kern w:val="0"/>
          <w:szCs w:val="24"/>
        </w:rPr>
        <w:br/>
        <w:t>4</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中華民國九十六年五月一日教育部</w:t>
      </w:r>
      <w:proofErr w:type="gramStart"/>
      <w:r w:rsidRPr="00D57BA3">
        <w:rPr>
          <w:rFonts w:ascii="新細明體" w:eastAsia="新細明體" w:hAnsi="新細明體" w:cs="新細明體"/>
          <w:kern w:val="0"/>
          <w:szCs w:val="24"/>
        </w:rPr>
        <w:t>台參字第0960061341</w:t>
      </w:r>
      <w:proofErr w:type="gramEnd"/>
      <w:r w:rsidRPr="00D57BA3">
        <w:rPr>
          <w:rFonts w:ascii="新細明體" w:eastAsia="新細明體" w:hAnsi="新細明體" w:cs="新細明體"/>
          <w:kern w:val="0"/>
          <w:szCs w:val="24"/>
        </w:rPr>
        <w:t>C號令修正發布第</w:t>
      </w:r>
      <w:hyperlink r:id="rId7" w:anchor="a7" w:history="1">
        <w:r w:rsidRPr="00D57BA3">
          <w:rPr>
            <w:rFonts w:ascii="新細明體" w:eastAsia="新細明體" w:hAnsi="新細明體" w:cs="新細明體"/>
            <w:color w:val="0000FF"/>
            <w:kern w:val="0"/>
            <w:szCs w:val="24"/>
            <w:u w:val="single"/>
          </w:rPr>
          <w:t>7</w:t>
        </w:r>
      </w:hyperlink>
      <w:r w:rsidRPr="00D57BA3">
        <w:rPr>
          <w:rFonts w:ascii="新細明體" w:eastAsia="新細明體" w:hAnsi="新細明體" w:cs="新細明體"/>
          <w:kern w:val="0"/>
          <w:szCs w:val="24"/>
        </w:rPr>
        <w:t>、</w:t>
      </w:r>
      <w:hyperlink r:id="rId8" w:anchor="a12" w:history="1">
        <w:r w:rsidRPr="00D57BA3">
          <w:rPr>
            <w:rFonts w:ascii="新細明體" w:eastAsia="新細明體" w:hAnsi="新細明體" w:cs="新細明體"/>
            <w:color w:val="0000FF"/>
            <w:kern w:val="0"/>
            <w:szCs w:val="24"/>
            <w:u w:val="single"/>
          </w:rPr>
          <w:t>12</w:t>
        </w:r>
      </w:hyperlink>
      <w:r w:rsidRPr="00D57BA3">
        <w:rPr>
          <w:rFonts w:ascii="新細明體" w:eastAsia="新細明體" w:hAnsi="新細明體" w:cs="新細明體"/>
          <w:kern w:val="0"/>
          <w:szCs w:val="24"/>
        </w:rPr>
        <w:t xml:space="preserve">條條文；並溯及自九十五年八月一日施行 </w:t>
      </w:r>
      <w:r w:rsidRPr="00D57BA3">
        <w:rPr>
          <w:rFonts w:ascii="新細明體" w:eastAsia="新細明體" w:hAnsi="新細明體" w:cs="新細明體"/>
          <w:kern w:val="0"/>
          <w:szCs w:val="24"/>
        </w:rPr>
        <w:br/>
        <w:t>5</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中華民國九十九年十二月一日教育部</w:t>
      </w:r>
      <w:proofErr w:type="gramStart"/>
      <w:r w:rsidRPr="00D57BA3">
        <w:rPr>
          <w:rFonts w:ascii="新細明體" w:eastAsia="新細明體" w:hAnsi="新細明體" w:cs="新細明體"/>
          <w:kern w:val="0"/>
          <w:szCs w:val="24"/>
        </w:rPr>
        <w:t>臺參字</w:t>
      </w:r>
      <w:proofErr w:type="gramEnd"/>
      <w:r w:rsidRPr="00D57BA3">
        <w:rPr>
          <w:rFonts w:ascii="新細明體" w:eastAsia="新細明體" w:hAnsi="新細明體" w:cs="新細明體"/>
          <w:kern w:val="0"/>
          <w:szCs w:val="24"/>
        </w:rPr>
        <w:t>第0990205583B號令修正發布</w:t>
      </w:r>
      <w:hyperlink r:id="rId9" w:anchor="a12" w:history="1">
        <w:r w:rsidRPr="00D57BA3">
          <w:rPr>
            <w:rFonts w:ascii="新細明體" w:eastAsia="新細明體" w:hAnsi="新細明體" w:cs="新細明體"/>
            <w:color w:val="0000FF"/>
            <w:kern w:val="0"/>
            <w:szCs w:val="24"/>
            <w:u w:val="single"/>
          </w:rPr>
          <w:t>第12條</w:t>
        </w:r>
      </w:hyperlink>
      <w:r w:rsidRPr="00D57BA3">
        <w:rPr>
          <w:rFonts w:ascii="新細明體" w:eastAsia="新細明體" w:hAnsi="新細明體" w:cs="新細明體"/>
          <w:kern w:val="0"/>
          <w:szCs w:val="24"/>
        </w:rPr>
        <w:t>條文，增訂</w:t>
      </w:r>
      <w:hyperlink r:id="rId10" w:anchor="a11b1" w:history="1">
        <w:r w:rsidRPr="00D57BA3">
          <w:rPr>
            <w:rFonts w:ascii="新細明體" w:eastAsia="新細明體" w:hAnsi="新細明體" w:cs="新細明體"/>
            <w:color w:val="0000FF"/>
            <w:kern w:val="0"/>
            <w:szCs w:val="24"/>
            <w:u w:val="single"/>
          </w:rPr>
          <w:t>第11-1條</w:t>
        </w:r>
      </w:hyperlink>
      <w:r w:rsidRPr="00D57BA3">
        <w:rPr>
          <w:rFonts w:ascii="新細明體" w:eastAsia="新細明體" w:hAnsi="新細明體" w:cs="新細明體"/>
          <w:kern w:val="0"/>
          <w:szCs w:val="24"/>
        </w:rPr>
        <w:t>條文；</w:t>
      </w:r>
      <w:hyperlink r:id="rId11" w:anchor="a11b1" w:history="1">
        <w:r w:rsidRPr="00D57BA3">
          <w:rPr>
            <w:rFonts w:ascii="新細明體" w:eastAsia="新細明體" w:hAnsi="新細明體" w:cs="新細明體"/>
            <w:color w:val="0000FF"/>
            <w:kern w:val="0"/>
            <w:szCs w:val="24"/>
            <w:u w:val="single"/>
          </w:rPr>
          <w:t>第11-1條</w:t>
        </w:r>
      </w:hyperlink>
      <w:r w:rsidRPr="00D57BA3">
        <w:rPr>
          <w:rFonts w:ascii="新細明體" w:eastAsia="新細明體" w:hAnsi="新細明體" w:cs="新細明體"/>
          <w:kern w:val="0"/>
          <w:szCs w:val="24"/>
        </w:rPr>
        <w:t>條文並自一百年二月一日施行&gt;&gt;</w:t>
      </w:r>
      <w:hyperlink r:id="rId12" w:anchor="_:::民國九十九年十二月一日公布條文:::" w:history="1">
        <w:r w:rsidRPr="00D57BA3">
          <w:rPr>
            <w:rFonts w:ascii="新細明體" w:eastAsia="新細明體" w:hAnsi="新細明體" w:cs="新細明體"/>
            <w:color w:val="0000FF"/>
            <w:kern w:val="0"/>
            <w:szCs w:val="24"/>
            <w:u w:val="single"/>
          </w:rPr>
          <w:t>原條文</w:t>
        </w:r>
      </w:hyperlink>
      <w:r w:rsidRPr="00D57BA3">
        <w:rPr>
          <w:rFonts w:ascii="新細明體" w:eastAsia="新細明體" w:hAnsi="新細明體" w:cs="新細明體"/>
          <w:kern w:val="0"/>
          <w:szCs w:val="24"/>
        </w:rPr>
        <w:t xml:space="preserve"> </w:t>
      </w:r>
      <w:r w:rsidRPr="00D57BA3">
        <w:rPr>
          <w:rFonts w:ascii="新細明體" w:eastAsia="新細明體" w:hAnsi="新細明體" w:cs="新細明體"/>
          <w:kern w:val="0"/>
          <w:szCs w:val="24"/>
        </w:rPr>
        <w:br/>
        <w:t>6</w:t>
      </w:r>
      <w:proofErr w:type="gramStart"/>
      <w:r w:rsidRPr="00D57BA3">
        <w:rPr>
          <w:rFonts w:ascii="新細明體" w:eastAsia="新細明體" w:hAnsi="新細明體" w:cs="新細明體"/>
          <w:kern w:val="0"/>
          <w:szCs w:val="24"/>
        </w:rPr>
        <w:t>‧</w:t>
      </w:r>
      <w:proofErr w:type="gramEnd"/>
      <w:r w:rsidRPr="00D57BA3">
        <w:rPr>
          <w:rFonts w:ascii="新細明體" w:eastAsia="新細明體" w:hAnsi="新細明體" w:cs="新細明體"/>
          <w:kern w:val="0"/>
          <w:szCs w:val="24"/>
        </w:rPr>
        <w:t>中華民國一百零一年五月七日教育部</w:t>
      </w:r>
      <w:proofErr w:type="gramStart"/>
      <w:r w:rsidRPr="00D57BA3">
        <w:rPr>
          <w:rFonts w:ascii="新細明體" w:eastAsia="新細明體" w:hAnsi="新細明體" w:cs="新細明體"/>
          <w:kern w:val="0"/>
          <w:szCs w:val="24"/>
        </w:rPr>
        <w:t>臺參字</w:t>
      </w:r>
      <w:proofErr w:type="gramEnd"/>
      <w:r w:rsidRPr="00D57BA3">
        <w:rPr>
          <w:rFonts w:ascii="新細明體" w:eastAsia="新細明體" w:hAnsi="新細明體" w:cs="新細明體"/>
          <w:kern w:val="0"/>
          <w:szCs w:val="24"/>
        </w:rPr>
        <w:t xml:space="preserve">第1010079561B號令修正發布全文16條；並自一百零一年八月一日施行 </w:t>
      </w:r>
    </w:p>
    <w:p w:rsidR="00D57BA3" w:rsidRPr="00D57BA3" w:rsidRDefault="00D57BA3" w:rsidP="00D57BA3">
      <w:pPr>
        <w:widowControl/>
        <w:spacing w:before="150" w:after="150" w:line="240" w:lineRule="auto"/>
        <w:outlineLvl w:val="4"/>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【法規內容】</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本準則依國民教育法第</w:t>
      </w:r>
      <w:hyperlink r:id="rId13" w:anchor="a13" w:history="1">
        <w:r w:rsidRPr="00D57BA3">
          <w:rPr>
            <w:rFonts w:ascii="新細明體" w:eastAsia="新細明體" w:hAnsi="新細明體" w:cs="新細明體"/>
            <w:color w:val="0000FF"/>
            <w:kern w:val="0"/>
            <w:szCs w:val="24"/>
            <w:u w:val="single"/>
          </w:rPr>
          <w:t>十三</w:t>
        </w:r>
      </w:hyperlink>
      <w:r w:rsidRPr="00D57BA3">
        <w:rPr>
          <w:rFonts w:ascii="新細明體" w:eastAsia="新細明體" w:hAnsi="新細明體" w:cs="新細明體"/>
          <w:kern w:val="0"/>
          <w:szCs w:val="24"/>
        </w:rPr>
        <w:t xml:space="preserve">條第一項規定訂定之。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第2條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國民小學及國民中學（以下簡稱國民中小學）學生成績評量，以協助學生德智體群美五育均衡發展為目的，並具有下列功能： </w:t>
      </w:r>
      <w:r w:rsidRPr="00D57BA3">
        <w:rPr>
          <w:rFonts w:ascii="新細明體" w:eastAsia="新細明體" w:hAnsi="新細明體" w:cs="新細明體"/>
          <w:kern w:val="0"/>
          <w:szCs w:val="24"/>
        </w:rPr>
        <w:br/>
        <w:t xml:space="preserve">　　一、學生據以瞭解自我表現，並調整學習方法與態度。 </w:t>
      </w:r>
      <w:r w:rsidRPr="00D57BA3">
        <w:rPr>
          <w:rFonts w:ascii="新細明體" w:eastAsia="新細明體" w:hAnsi="新細明體" w:cs="新細明體"/>
          <w:kern w:val="0"/>
          <w:szCs w:val="24"/>
        </w:rPr>
        <w:br/>
        <w:t xml:space="preserve">　　二、教師據以調整教學與評量方式，並輔導學生適性學習。 </w:t>
      </w:r>
      <w:r w:rsidRPr="00D57BA3">
        <w:rPr>
          <w:rFonts w:ascii="新細明體" w:eastAsia="新細明體" w:hAnsi="新細明體" w:cs="新細明體"/>
          <w:kern w:val="0"/>
          <w:szCs w:val="24"/>
        </w:rPr>
        <w:br/>
        <w:t xml:space="preserve">　　三、學校據以調整課程計畫，並針對學生需求安排激勵方案或補救教學。 </w:t>
      </w:r>
      <w:r w:rsidRPr="00D57BA3">
        <w:rPr>
          <w:rFonts w:ascii="新細明體" w:eastAsia="新細明體" w:hAnsi="新細明體" w:cs="新細明體"/>
          <w:kern w:val="0"/>
          <w:szCs w:val="24"/>
        </w:rPr>
        <w:br/>
        <w:t xml:space="preserve">　　四、家長據以瞭解學生學習表現，並與教師、學校共同督導學生有效學習。 </w:t>
      </w:r>
      <w:r w:rsidRPr="00D57BA3">
        <w:rPr>
          <w:rFonts w:ascii="新細明體" w:eastAsia="新細明體" w:hAnsi="新細明體" w:cs="新細明體"/>
          <w:kern w:val="0"/>
          <w:szCs w:val="24"/>
        </w:rPr>
        <w:br/>
        <w:t xml:space="preserve">　　五、直轄市、縣（市）政府及教育部據以進行學習品質管控，並調整課程與教學政策。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bookmarkStart w:id="0" w:name="b3"/>
      <w:bookmarkEnd w:id="0"/>
      <w:r w:rsidRPr="00D57BA3">
        <w:rPr>
          <w:rFonts w:ascii="新細明體" w:eastAsia="新細明體" w:hAnsi="新細明體" w:cs="新細明體"/>
          <w:b/>
          <w:bCs/>
          <w:kern w:val="0"/>
          <w:szCs w:val="24"/>
        </w:rPr>
        <w:t>第3條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國民中小學學生成績評量，應依學習領域及日常生活表現，分別評量之；其</w:t>
      </w:r>
      <w:r w:rsidRPr="00D57BA3">
        <w:rPr>
          <w:rFonts w:ascii="新細明體" w:eastAsia="新細明體" w:hAnsi="新細明體" w:cs="新細明體"/>
          <w:kern w:val="0"/>
          <w:szCs w:val="24"/>
        </w:rPr>
        <w:lastRenderedPageBreak/>
        <w:t xml:space="preserve">評量範圍及內涵如下： </w:t>
      </w:r>
      <w:r w:rsidRPr="00D57BA3">
        <w:rPr>
          <w:rFonts w:ascii="新細明體" w:eastAsia="新細明體" w:hAnsi="新細明體" w:cs="新細明體"/>
          <w:kern w:val="0"/>
          <w:szCs w:val="24"/>
        </w:rPr>
        <w:br/>
        <w:t xml:space="preserve">　　一、學習領域：其評量範圍包括國民中學及國民小學九年一貫課程綱要所定之七大學習領域及其所融入之重大議題；其內涵包括能力指標、學生努力程度、進步情形，並應兼顧認知、情意、技能及參與實踐等層面，且重視學習歷程與結果之分析。 </w:t>
      </w:r>
      <w:r w:rsidRPr="00D57BA3">
        <w:rPr>
          <w:rFonts w:ascii="新細明體" w:eastAsia="新細明體" w:hAnsi="新細明體" w:cs="新細明體"/>
          <w:kern w:val="0"/>
          <w:szCs w:val="24"/>
        </w:rPr>
        <w:br/>
        <w:t xml:space="preserve">　　二、日常生活表現：其評量範圍及內涵包括學生出缺席情形、獎懲紀錄、團體活動表現、品德言行表現、公共服務及校內外特殊表現等。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bookmarkStart w:id="1" w:name="b4"/>
      <w:bookmarkEnd w:id="1"/>
      <w:r w:rsidRPr="00D57BA3">
        <w:rPr>
          <w:rFonts w:ascii="新細明體" w:eastAsia="新細明體" w:hAnsi="新細明體" w:cs="新細明體"/>
          <w:b/>
          <w:bCs/>
          <w:kern w:val="0"/>
          <w:szCs w:val="24"/>
        </w:rPr>
        <w:t>第4條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國民中小學學生成績評量原則如下： </w:t>
      </w:r>
      <w:r w:rsidRPr="00D57BA3">
        <w:rPr>
          <w:rFonts w:ascii="新細明體" w:eastAsia="新細明體" w:hAnsi="新細明體" w:cs="新細明體"/>
          <w:kern w:val="0"/>
          <w:szCs w:val="24"/>
        </w:rPr>
        <w:br/>
        <w:t xml:space="preserve">　　一、目標：應符合教育目的之正當性。 </w:t>
      </w:r>
      <w:r w:rsidRPr="00D57BA3">
        <w:rPr>
          <w:rFonts w:ascii="新細明體" w:eastAsia="新細明體" w:hAnsi="新細明體" w:cs="新細明體"/>
          <w:kern w:val="0"/>
          <w:szCs w:val="24"/>
        </w:rPr>
        <w:br/>
        <w:t xml:space="preserve">　　二、對象：應兼顧適性化及彈性調整。 </w:t>
      </w:r>
      <w:r w:rsidRPr="00D57BA3">
        <w:rPr>
          <w:rFonts w:ascii="新細明體" w:eastAsia="新細明體" w:hAnsi="新細明體" w:cs="新細明體"/>
          <w:kern w:val="0"/>
          <w:szCs w:val="24"/>
        </w:rPr>
        <w:br/>
        <w:t xml:space="preserve">　　三、時機：應兼顧平時及定期。 </w:t>
      </w:r>
      <w:r w:rsidRPr="00D57BA3">
        <w:rPr>
          <w:rFonts w:ascii="新細明體" w:eastAsia="新細明體" w:hAnsi="新細明體" w:cs="新細明體"/>
          <w:kern w:val="0"/>
          <w:szCs w:val="24"/>
        </w:rPr>
        <w:br/>
        <w:t xml:space="preserve">　　四、方法：應符合紙筆測驗使用頻率最小化。 </w:t>
      </w:r>
      <w:r w:rsidRPr="00D57BA3">
        <w:rPr>
          <w:rFonts w:ascii="新細明體" w:eastAsia="新細明體" w:hAnsi="新細明體" w:cs="新細明體"/>
          <w:kern w:val="0"/>
          <w:szCs w:val="24"/>
        </w:rPr>
        <w:br/>
        <w:t xml:space="preserve">　　五、結果解釋：應標準參照為主，常模參照為輔。 </w:t>
      </w:r>
      <w:r w:rsidRPr="00D57BA3">
        <w:rPr>
          <w:rFonts w:ascii="新細明體" w:eastAsia="新細明體" w:hAnsi="新細明體" w:cs="新細明體"/>
          <w:kern w:val="0"/>
          <w:szCs w:val="24"/>
        </w:rPr>
        <w:br/>
        <w:t xml:space="preserve">　　六、結果功能：應形成性及總結性功能並重；必要時應兼顧診斷性及安置性功能。 </w:t>
      </w:r>
      <w:r w:rsidRPr="00D57BA3">
        <w:rPr>
          <w:rFonts w:ascii="新細明體" w:eastAsia="新細明體" w:hAnsi="新細明體" w:cs="新細明體"/>
          <w:kern w:val="0"/>
          <w:szCs w:val="24"/>
        </w:rPr>
        <w:br/>
        <w:t xml:space="preserve">　　七、結果呈現：</w:t>
      </w:r>
      <w:proofErr w:type="gramStart"/>
      <w:r w:rsidRPr="00D57BA3">
        <w:rPr>
          <w:rFonts w:ascii="新細明體" w:eastAsia="新細明體" w:hAnsi="新細明體" w:cs="新細明體"/>
          <w:kern w:val="0"/>
          <w:szCs w:val="24"/>
        </w:rPr>
        <w:t>應質性</w:t>
      </w:r>
      <w:proofErr w:type="gramEnd"/>
      <w:r w:rsidRPr="00D57BA3">
        <w:rPr>
          <w:rFonts w:ascii="新細明體" w:eastAsia="新細明體" w:hAnsi="新細明體" w:cs="新細明體"/>
          <w:kern w:val="0"/>
          <w:szCs w:val="24"/>
        </w:rPr>
        <w:t xml:space="preserve">描述及客觀數據並重。 </w:t>
      </w:r>
      <w:r w:rsidRPr="00D57BA3">
        <w:rPr>
          <w:rFonts w:ascii="新細明體" w:eastAsia="新細明體" w:hAnsi="新細明體" w:cs="新細明體"/>
          <w:kern w:val="0"/>
          <w:szCs w:val="24"/>
        </w:rPr>
        <w:br/>
        <w:t xml:space="preserve">　　八、結果管理：應兼顧保密及尊重隱私。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第5條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國民中小學學生成績評量，應依</w:t>
      </w:r>
      <w:hyperlink r:id="rId14" w:anchor="b3" w:history="1">
        <w:r w:rsidRPr="00D57BA3">
          <w:rPr>
            <w:rFonts w:ascii="新細明體" w:eastAsia="新細明體" w:hAnsi="新細明體" w:cs="新細明體"/>
            <w:color w:val="0000FF"/>
            <w:kern w:val="0"/>
            <w:szCs w:val="24"/>
            <w:u w:val="single"/>
          </w:rPr>
          <w:t>第三條</w:t>
        </w:r>
      </w:hyperlink>
      <w:r w:rsidRPr="00D57BA3">
        <w:rPr>
          <w:rFonts w:ascii="新細明體" w:eastAsia="新細明體" w:hAnsi="新細明體" w:cs="新細明體"/>
          <w:kern w:val="0"/>
          <w:szCs w:val="24"/>
        </w:rPr>
        <w:t xml:space="preserve">規定，並視學生身心發展及個別差異，採取下列適當之方式辦理： </w:t>
      </w:r>
      <w:r w:rsidRPr="00D57BA3">
        <w:rPr>
          <w:rFonts w:ascii="新細明體" w:eastAsia="新細明體" w:hAnsi="新細明體" w:cs="新細明體"/>
          <w:kern w:val="0"/>
          <w:szCs w:val="24"/>
        </w:rPr>
        <w:br/>
        <w:t xml:space="preserve">　　一、紙筆測驗及表單：依重要知識與概念性目標，及學習興趣、動機與態度等情意目標，採用學習單、習作作業、紙筆測驗、問卷、檢核表、評定量表等方式。 </w:t>
      </w:r>
      <w:r w:rsidRPr="00D57BA3">
        <w:rPr>
          <w:rFonts w:ascii="新細明體" w:eastAsia="新細明體" w:hAnsi="新細明體" w:cs="新細明體"/>
          <w:kern w:val="0"/>
          <w:szCs w:val="24"/>
        </w:rPr>
        <w:br/>
        <w:t xml:space="preserve">　　二、實作評量：依問題解決、技能、參與實踐及言行表現性目標，</w:t>
      </w:r>
      <w:proofErr w:type="gramStart"/>
      <w:r w:rsidRPr="00D57BA3">
        <w:rPr>
          <w:rFonts w:ascii="新細明體" w:eastAsia="新細明體" w:hAnsi="新細明體" w:cs="新細明體"/>
          <w:kern w:val="0"/>
          <w:szCs w:val="24"/>
        </w:rPr>
        <w:t>採</w:t>
      </w:r>
      <w:proofErr w:type="gramEnd"/>
      <w:r w:rsidRPr="00D57BA3">
        <w:rPr>
          <w:rFonts w:ascii="新細明體" w:eastAsia="新細明體" w:hAnsi="新細明體" w:cs="新細明體"/>
          <w:kern w:val="0"/>
          <w:szCs w:val="24"/>
        </w:rPr>
        <w:t xml:space="preserve">書面報告、口頭報告、口語溝通、實際操作、作品製作、展演、行為觀察等方式。 </w:t>
      </w:r>
      <w:r w:rsidRPr="00D57BA3">
        <w:rPr>
          <w:rFonts w:ascii="新細明體" w:eastAsia="新細明體" w:hAnsi="新細明體" w:cs="新細明體"/>
          <w:kern w:val="0"/>
          <w:szCs w:val="24"/>
        </w:rPr>
        <w:br/>
        <w:t xml:space="preserve">　　三、檔案評量：依學習目標，指導學生本於目的導向系統彙整或組織表單、測驗、表現評量等資料及相關紀錄，以製成檔案，展現其學習歷程及成果。 </w:t>
      </w:r>
      <w:r w:rsidRPr="00D57BA3">
        <w:rPr>
          <w:rFonts w:ascii="新細明體" w:eastAsia="新細明體" w:hAnsi="新細明體" w:cs="新細明體"/>
          <w:kern w:val="0"/>
          <w:szCs w:val="24"/>
        </w:rPr>
        <w:br/>
        <w:t xml:space="preserve">　　特殊教育學生之成績評量方式，</w:t>
      </w:r>
      <w:proofErr w:type="gramStart"/>
      <w:r w:rsidRPr="00D57BA3">
        <w:rPr>
          <w:rFonts w:ascii="新細明體" w:eastAsia="新細明體" w:hAnsi="新細明體" w:cs="新細明體"/>
          <w:kern w:val="0"/>
          <w:szCs w:val="24"/>
        </w:rPr>
        <w:t>應衡酌</w:t>
      </w:r>
      <w:proofErr w:type="gramEnd"/>
      <w:r w:rsidRPr="00D57BA3">
        <w:rPr>
          <w:rFonts w:ascii="新細明體" w:eastAsia="新細明體" w:hAnsi="新細明體" w:cs="新細明體"/>
          <w:kern w:val="0"/>
          <w:szCs w:val="24"/>
        </w:rPr>
        <w:t xml:space="preserve">其學習需求及優勢管道，彈性調整之。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第6條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國民中小學學生成績評量時機，分為定期評量及平時評量二種。 </w:t>
      </w:r>
      <w:r w:rsidRPr="00D57BA3">
        <w:rPr>
          <w:rFonts w:ascii="新細明體" w:eastAsia="新細明體" w:hAnsi="新細明體" w:cs="新細明體"/>
          <w:kern w:val="0"/>
          <w:szCs w:val="24"/>
        </w:rPr>
        <w:br/>
        <w:t xml:space="preserve">　　學習領域評量應兼顧定期評量及平時評量，惟定期評量中紙筆測驗之次數，每學期至多三次，平時評量中紙筆測驗之次數，於各學習領域皆應符合</w:t>
      </w:r>
      <w:hyperlink r:id="rId15" w:anchor="b4" w:history="1">
        <w:r w:rsidRPr="00D57BA3">
          <w:rPr>
            <w:rFonts w:ascii="新細明體" w:eastAsia="新細明體" w:hAnsi="新細明體" w:cs="新細明體"/>
            <w:color w:val="0000FF"/>
            <w:kern w:val="0"/>
            <w:szCs w:val="24"/>
            <w:u w:val="single"/>
          </w:rPr>
          <w:t>第四條</w:t>
        </w:r>
      </w:hyperlink>
      <w:r w:rsidRPr="00D57BA3">
        <w:rPr>
          <w:rFonts w:ascii="新細明體" w:eastAsia="新細明體" w:hAnsi="新細明體" w:cs="新細明體"/>
          <w:kern w:val="0"/>
          <w:szCs w:val="24"/>
        </w:rPr>
        <w:t>第</w:t>
      </w:r>
      <w:r w:rsidRPr="00D57BA3">
        <w:rPr>
          <w:rFonts w:ascii="新細明體" w:eastAsia="新細明體" w:hAnsi="新細明體" w:cs="新細明體"/>
          <w:kern w:val="0"/>
          <w:szCs w:val="24"/>
        </w:rPr>
        <w:lastRenderedPageBreak/>
        <w:t xml:space="preserve">四款最小化原則。 </w:t>
      </w:r>
      <w:r w:rsidRPr="00D57BA3">
        <w:rPr>
          <w:rFonts w:ascii="新細明體" w:eastAsia="新細明體" w:hAnsi="新細明體" w:cs="新細明體"/>
          <w:kern w:val="0"/>
          <w:szCs w:val="24"/>
        </w:rPr>
        <w:br/>
        <w:t xml:space="preserve">　　日常生活表現以平時評量為原則，評量次數得視需要彈性為之。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第7條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國民中小學學生成績評量之評量人員及其實施方式如下： </w:t>
      </w:r>
      <w:r w:rsidRPr="00D57BA3">
        <w:rPr>
          <w:rFonts w:ascii="新細明體" w:eastAsia="新細明體" w:hAnsi="新細明體" w:cs="新細明體"/>
          <w:kern w:val="0"/>
          <w:szCs w:val="24"/>
        </w:rPr>
        <w:br/>
        <w:t xml:space="preserve">　　一、各學習領域：由授課教師評量，且須於每學期初向學生及家長說明評量計畫。 </w:t>
      </w:r>
      <w:r w:rsidRPr="00D57BA3">
        <w:rPr>
          <w:rFonts w:ascii="新細明體" w:eastAsia="新細明體" w:hAnsi="新細明體" w:cs="新細明體"/>
          <w:kern w:val="0"/>
          <w:szCs w:val="24"/>
        </w:rPr>
        <w:br/>
        <w:t xml:space="preserve">　　二、日常生活表現：由</w:t>
      </w:r>
      <w:proofErr w:type="gramStart"/>
      <w:r w:rsidRPr="00D57BA3">
        <w:rPr>
          <w:rFonts w:ascii="新細明體" w:eastAsia="新細明體" w:hAnsi="新細明體" w:cs="新細明體"/>
          <w:kern w:val="0"/>
          <w:szCs w:val="24"/>
        </w:rPr>
        <w:t>導師參據學校</w:t>
      </w:r>
      <w:proofErr w:type="gramEnd"/>
      <w:r w:rsidRPr="00D57BA3">
        <w:rPr>
          <w:rFonts w:ascii="新細明體" w:eastAsia="新細明體" w:hAnsi="新細明體" w:cs="新細明體"/>
          <w:kern w:val="0"/>
          <w:szCs w:val="24"/>
        </w:rPr>
        <w:t xml:space="preserve">各項紀錄，以及各學習領域授課教師、學生同儕及家長意見反應等加以評定。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第8條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國民中小學學生學習領域之平時及定期成績評量結果，應依評量方法之性質以等第、數量或文字描述記錄之。 </w:t>
      </w:r>
      <w:r w:rsidRPr="00D57BA3">
        <w:rPr>
          <w:rFonts w:ascii="新細明體" w:eastAsia="新細明體" w:hAnsi="新細明體" w:cs="新細明體"/>
          <w:kern w:val="0"/>
          <w:szCs w:val="24"/>
        </w:rPr>
        <w:br/>
        <w:t xml:space="preserve">　　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 </w:t>
      </w:r>
      <w:r w:rsidRPr="00D57BA3">
        <w:rPr>
          <w:rFonts w:ascii="新細明體" w:eastAsia="新細明體" w:hAnsi="新細明體" w:cs="新細明體"/>
          <w:kern w:val="0"/>
          <w:szCs w:val="24"/>
        </w:rPr>
        <w:br/>
        <w:t xml:space="preserve">　　一、優等：九十分以上。 </w:t>
      </w:r>
      <w:r w:rsidRPr="00D57BA3">
        <w:rPr>
          <w:rFonts w:ascii="新細明體" w:eastAsia="新細明體" w:hAnsi="新細明體" w:cs="新細明體"/>
          <w:kern w:val="0"/>
          <w:szCs w:val="24"/>
        </w:rPr>
        <w:br/>
        <w:t xml:space="preserve">　　二、甲等：八十分以上未滿九十分。 </w:t>
      </w:r>
      <w:r w:rsidRPr="00D57BA3">
        <w:rPr>
          <w:rFonts w:ascii="新細明體" w:eastAsia="新細明體" w:hAnsi="新細明體" w:cs="新細明體"/>
          <w:kern w:val="0"/>
          <w:szCs w:val="24"/>
        </w:rPr>
        <w:br/>
        <w:t xml:space="preserve">　　三、乙等：七十分以上未滿八十分。 </w:t>
      </w:r>
      <w:r w:rsidRPr="00D57BA3">
        <w:rPr>
          <w:rFonts w:ascii="新細明體" w:eastAsia="新細明體" w:hAnsi="新細明體" w:cs="新細明體"/>
          <w:kern w:val="0"/>
          <w:szCs w:val="24"/>
        </w:rPr>
        <w:br/>
        <w:t xml:space="preserve">　　四、丙等：六十分以上未滿七十分。 </w:t>
      </w:r>
      <w:r w:rsidRPr="00D57BA3">
        <w:rPr>
          <w:rFonts w:ascii="新細明體" w:eastAsia="新細明體" w:hAnsi="新細明體" w:cs="新細明體"/>
          <w:kern w:val="0"/>
          <w:szCs w:val="24"/>
        </w:rPr>
        <w:br/>
        <w:t xml:space="preserve">　　五、丁等：未滿六十分。 </w:t>
      </w:r>
      <w:r w:rsidRPr="00D57BA3">
        <w:rPr>
          <w:rFonts w:ascii="新細明體" w:eastAsia="新細明體" w:hAnsi="新細明體" w:cs="新細明體"/>
          <w:kern w:val="0"/>
          <w:szCs w:val="24"/>
        </w:rPr>
        <w:br/>
        <w:t xml:space="preserve">　　前項等第，以丙等為表現及格之基準。 </w:t>
      </w:r>
      <w:r w:rsidRPr="00D57BA3">
        <w:rPr>
          <w:rFonts w:ascii="新細明體" w:eastAsia="新細明體" w:hAnsi="新細明體" w:cs="新細明體"/>
          <w:kern w:val="0"/>
          <w:szCs w:val="24"/>
        </w:rPr>
        <w:br/>
        <w:t xml:space="preserve">　　學生日常生活表現紀錄，應就</w:t>
      </w:r>
      <w:hyperlink r:id="rId16" w:anchor="b3" w:history="1">
        <w:r w:rsidRPr="00D57BA3">
          <w:rPr>
            <w:rFonts w:ascii="新細明體" w:eastAsia="新細明體" w:hAnsi="新細明體" w:cs="新細明體"/>
            <w:color w:val="0000FF"/>
            <w:kern w:val="0"/>
            <w:szCs w:val="24"/>
            <w:u w:val="single"/>
          </w:rPr>
          <w:t>第三條</w:t>
        </w:r>
      </w:hyperlink>
      <w:r w:rsidRPr="00D57BA3">
        <w:rPr>
          <w:rFonts w:ascii="新細明體" w:eastAsia="新細明體" w:hAnsi="新細明體" w:cs="新細明體"/>
          <w:kern w:val="0"/>
          <w:szCs w:val="24"/>
        </w:rPr>
        <w:t xml:space="preserve">第二款所列項目，分別依行為事實記錄之，並酌予提供具體建議，不作綜合性評價及等第轉換。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第9條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學校就國民中小學學生學習領域及日常生活表現之成績評量紀錄及具體建議，每學期至少應以書面通知家長及學生一次。 </w:t>
      </w:r>
      <w:r w:rsidRPr="00D57BA3">
        <w:rPr>
          <w:rFonts w:ascii="新細明體" w:eastAsia="新細明體" w:hAnsi="新細明體" w:cs="新細明體"/>
          <w:kern w:val="0"/>
          <w:szCs w:val="24"/>
        </w:rPr>
        <w:br/>
        <w:t xml:space="preserve">　　學校得公告說明學生分數之分布情形。但不得公開呈現個別學生在班級及學校排名。 </w:t>
      </w:r>
      <w:r w:rsidRPr="00D57BA3">
        <w:rPr>
          <w:rFonts w:ascii="新細明體" w:eastAsia="新細明體" w:hAnsi="新細明體" w:cs="新細明體"/>
          <w:kern w:val="0"/>
          <w:szCs w:val="24"/>
        </w:rPr>
        <w:br/>
        <w:t xml:space="preserve">　　直轄市、縣（市）政府應定期檢視所轄國民中小學學生之評量結果，作為其教育政策擬訂及推動</w:t>
      </w:r>
      <w:proofErr w:type="gramStart"/>
      <w:r w:rsidRPr="00D57BA3">
        <w:rPr>
          <w:rFonts w:ascii="新細明體" w:eastAsia="新細明體" w:hAnsi="新細明體" w:cs="新細明體"/>
          <w:kern w:val="0"/>
          <w:szCs w:val="24"/>
        </w:rPr>
        <w:t>之參據</w:t>
      </w:r>
      <w:proofErr w:type="gramEnd"/>
      <w:r w:rsidRPr="00D57BA3">
        <w:rPr>
          <w:rFonts w:ascii="新細明體" w:eastAsia="新細明體" w:hAnsi="新細明體" w:cs="新細明體"/>
          <w:kern w:val="0"/>
          <w:szCs w:val="24"/>
        </w:rPr>
        <w:t xml:space="preserve">，並適時向教育部反應。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第10條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國民中小學學生學習領域之成績評量結果未達及格基準者，應施以補救教學，並依教育部所定國民小學及國民中學補救教學實施方案規定辦理。 </w:t>
      </w:r>
      <w:r w:rsidRPr="00D57BA3">
        <w:rPr>
          <w:rFonts w:ascii="新細明體" w:eastAsia="新細明體" w:hAnsi="新細明體" w:cs="新細明體"/>
          <w:kern w:val="0"/>
          <w:szCs w:val="24"/>
        </w:rPr>
        <w:br/>
      </w:r>
      <w:r w:rsidRPr="00D57BA3">
        <w:rPr>
          <w:rFonts w:ascii="新細明體" w:eastAsia="新細明體" w:hAnsi="新細明體" w:cs="新細明體"/>
          <w:kern w:val="0"/>
          <w:szCs w:val="24"/>
        </w:rPr>
        <w:lastRenderedPageBreak/>
        <w:t xml:space="preserve">　　學生之日常生活表現不佳者，學校應依所定教師輔導與管教學生相關規定施以輔導，必要時得與家長（或法定代理人）聯繫，且提供學生改過銷過及功過相抵之機會。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第11條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國民中小學學生修業期滿，符合下列規定者，為成績及格由學校發給畢業證書；未達畢業標準者，發給修業證明書： </w:t>
      </w:r>
      <w:r w:rsidRPr="00D57BA3">
        <w:rPr>
          <w:rFonts w:ascii="新細明體" w:eastAsia="新細明體" w:hAnsi="新細明體" w:cs="新細明體"/>
          <w:kern w:val="0"/>
          <w:szCs w:val="24"/>
        </w:rPr>
        <w:br/>
        <w:t xml:space="preserve">　　一、學習期間扣除學校核可之公、喪、病假，上課總出席率至少達三分之二以上，且經獎懲抵銷後，未滿</w:t>
      </w:r>
      <w:proofErr w:type="gramStart"/>
      <w:r w:rsidRPr="00D57BA3">
        <w:rPr>
          <w:rFonts w:ascii="新細明體" w:eastAsia="新細明體" w:hAnsi="新細明體" w:cs="新細明體"/>
          <w:kern w:val="0"/>
          <w:szCs w:val="24"/>
        </w:rPr>
        <w:t>三</w:t>
      </w:r>
      <w:proofErr w:type="gramEnd"/>
      <w:r w:rsidRPr="00D57BA3">
        <w:rPr>
          <w:rFonts w:ascii="新細明體" w:eastAsia="新細明體" w:hAnsi="新細明體" w:cs="新細明體"/>
          <w:kern w:val="0"/>
          <w:szCs w:val="24"/>
        </w:rPr>
        <w:t xml:space="preserve">大過。 </w:t>
      </w:r>
      <w:r w:rsidRPr="00D57BA3">
        <w:rPr>
          <w:rFonts w:ascii="新細明體" w:eastAsia="新細明體" w:hAnsi="新細明體" w:cs="新細明體"/>
          <w:kern w:val="0"/>
          <w:szCs w:val="24"/>
        </w:rPr>
        <w:br/>
        <w:t xml:space="preserve">　　二、七大學習領域有四大學習領域以上畢業總平均成績丙等以上。 </w:t>
      </w:r>
      <w:r w:rsidRPr="00D57BA3">
        <w:rPr>
          <w:rFonts w:ascii="新細明體" w:eastAsia="新細明體" w:hAnsi="新細明體" w:cs="新細明體"/>
          <w:kern w:val="0"/>
          <w:szCs w:val="24"/>
        </w:rPr>
        <w:br/>
        <w:t xml:space="preserve">　　前項規定，自中華民國一百零一年八月一日以後入學國民中小學之學生適用之。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第12條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國民中小學就學生之成績評量結果，應妥為保存及管理，並維護個人隱私與權益；其評量結果及紀錄處理，應依</w:t>
      </w:r>
      <w:hyperlink r:id="rId17" w:history="1">
        <w:r w:rsidRPr="00D57BA3">
          <w:rPr>
            <w:rFonts w:ascii="新細明體" w:eastAsia="新細明體" w:hAnsi="新細明體" w:cs="新細明體"/>
            <w:color w:val="0000FF"/>
            <w:kern w:val="0"/>
            <w:szCs w:val="24"/>
            <w:u w:val="single"/>
          </w:rPr>
          <w:t>個人資料保護法</w:t>
        </w:r>
      </w:hyperlink>
      <w:proofErr w:type="gramStart"/>
      <w:r w:rsidRPr="00D57BA3">
        <w:rPr>
          <w:rFonts w:ascii="新細明體" w:eastAsia="新細明體" w:hAnsi="新細明體" w:cs="新細明體"/>
          <w:kern w:val="0"/>
          <w:szCs w:val="24"/>
        </w:rPr>
        <w:t>規</w:t>
      </w:r>
      <w:proofErr w:type="gramEnd"/>
      <w:r w:rsidRPr="00D57BA3">
        <w:rPr>
          <w:rFonts w:ascii="新細明體" w:eastAsia="新細明體" w:hAnsi="新細明體" w:cs="新細明體"/>
          <w:kern w:val="0"/>
          <w:szCs w:val="24"/>
        </w:rPr>
        <w:t xml:space="preserve">相關規定辦理。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第13條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為瞭解並確保國民中學學生學力品質，應由教育部會同直轄市、縣（市）政府辦理國中教育會考（以下簡稱教育會考），其辦理方式如下： </w:t>
      </w:r>
      <w:r w:rsidRPr="00D57BA3">
        <w:rPr>
          <w:rFonts w:ascii="新細明體" w:eastAsia="新細明體" w:hAnsi="新細明體" w:cs="新細明體"/>
          <w:kern w:val="0"/>
          <w:szCs w:val="24"/>
        </w:rPr>
        <w:br/>
        <w:t xml:space="preserve">　　一、中華民國一百零三年起每年五月針對國民中學</w:t>
      </w:r>
      <w:proofErr w:type="gramStart"/>
      <w:r w:rsidRPr="00D57BA3">
        <w:rPr>
          <w:rFonts w:ascii="新細明體" w:eastAsia="新細明體" w:hAnsi="新細明體" w:cs="新細明體"/>
          <w:kern w:val="0"/>
          <w:szCs w:val="24"/>
        </w:rPr>
        <w:t>三</w:t>
      </w:r>
      <w:proofErr w:type="gramEnd"/>
      <w:r w:rsidRPr="00D57BA3">
        <w:rPr>
          <w:rFonts w:ascii="新細明體" w:eastAsia="新細明體" w:hAnsi="新細明體" w:cs="新細明體"/>
          <w:kern w:val="0"/>
          <w:szCs w:val="24"/>
        </w:rPr>
        <w:t xml:space="preserve">年級學生統一舉辦，評量科目為國文、英語、數學、社會及自然五科及寫作測驗。 </w:t>
      </w:r>
      <w:r w:rsidRPr="00D57BA3">
        <w:rPr>
          <w:rFonts w:ascii="新細明體" w:eastAsia="新細明體" w:hAnsi="新細明體" w:cs="新細明體"/>
          <w:kern w:val="0"/>
          <w:szCs w:val="24"/>
        </w:rPr>
        <w:br/>
        <w:t xml:space="preserve">　　二、由專業評量機構負責命題、</w:t>
      </w:r>
      <w:proofErr w:type="gramStart"/>
      <w:r w:rsidRPr="00D57BA3">
        <w:rPr>
          <w:rFonts w:ascii="新細明體" w:eastAsia="新細明體" w:hAnsi="新細明體" w:cs="新細明體"/>
          <w:kern w:val="0"/>
          <w:szCs w:val="24"/>
        </w:rPr>
        <w:t>組卷</w:t>
      </w:r>
      <w:proofErr w:type="gramEnd"/>
      <w:r w:rsidRPr="00D57BA3">
        <w:rPr>
          <w:rFonts w:ascii="新細明體" w:eastAsia="新細明體" w:hAnsi="新細明體" w:cs="新細明體"/>
          <w:kern w:val="0"/>
          <w:szCs w:val="24"/>
        </w:rPr>
        <w:t>、閱卷與試</w:t>
      </w:r>
      <w:proofErr w:type="gramStart"/>
      <w:r w:rsidRPr="00D57BA3">
        <w:rPr>
          <w:rFonts w:ascii="新細明體" w:eastAsia="新細明體" w:hAnsi="新細明體" w:cs="新細明體"/>
          <w:kern w:val="0"/>
          <w:szCs w:val="24"/>
        </w:rPr>
        <w:t>務</w:t>
      </w:r>
      <w:proofErr w:type="gramEnd"/>
      <w:r w:rsidRPr="00D57BA3">
        <w:rPr>
          <w:rFonts w:ascii="新細明體" w:eastAsia="新細明體" w:hAnsi="新細明體" w:cs="新細明體"/>
          <w:kern w:val="0"/>
          <w:szCs w:val="24"/>
        </w:rPr>
        <w:t xml:space="preserve">工作，以達公平客觀並實踐國家課程目標。 </w:t>
      </w:r>
      <w:r w:rsidRPr="00D57BA3">
        <w:rPr>
          <w:rFonts w:ascii="新細明體" w:eastAsia="新細明體" w:hAnsi="新細明體" w:cs="新細明體"/>
          <w:kern w:val="0"/>
          <w:szCs w:val="24"/>
        </w:rPr>
        <w:br/>
        <w:t xml:space="preserve">　　三、教育會考之結果供學生、教師、學校、家長及主管機關瞭解學生學習品質及其他相關法規規定之使用。但不得納入在校學習評量成績計算。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第14條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國民中小學學生各項成績評量相關表冊，由直轄市、縣（市）政府定之。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第15條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國民中學為輔導學生升學所辦理之模擬升學測驗，其成績不得納入學生評量成績計算；相關處理原則，依教育部之規定。 </w:t>
      </w:r>
    </w:p>
    <w:p w:rsidR="00D57BA3" w:rsidRPr="00D57BA3" w:rsidRDefault="00D57BA3" w:rsidP="00D57BA3">
      <w:pPr>
        <w:widowControl/>
        <w:spacing w:before="150" w:line="240" w:lineRule="auto"/>
        <w:outlineLvl w:val="1"/>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第16條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本準則自中華民國一百零一年八月一日施行。 </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lastRenderedPageBreak/>
        <w:br/>
        <w:t xml:space="preserve">　　　　　　　　　　　　　　　　　　　　　　　　　　　　　　　　　　　　　　　　　　　　　　　　</w:t>
      </w:r>
      <w:hyperlink r:id="rId18" w:anchor="top" w:history="1">
        <w:r w:rsidRPr="00D57BA3">
          <w:rPr>
            <w:rFonts w:ascii="新細明體" w:eastAsia="新細明體" w:hAnsi="新細明體" w:cs="新細明體"/>
            <w:color w:val="0000FF"/>
            <w:kern w:val="0"/>
            <w:szCs w:val="24"/>
            <w:u w:val="single"/>
          </w:rPr>
          <w:t>回首頁&gt;&gt;</w:t>
        </w:r>
      </w:hyperlink>
      <w:r w:rsidRPr="00D57BA3">
        <w:rPr>
          <w:rFonts w:ascii="新細明體" w:eastAsia="新細明體" w:hAnsi="新細明體" w:cs="新細明體"/>
          <w:kern w:val="0"/>
          <w:szCs w:val="24"/>
        </w:rPr>
        <w:t xml:space="preserve"> </w:t>
      </w:r>
    </w:p>
    <w:p w:rsidR="00D57BA3" w:rsidRPr="00D57BA3" w:rsidRDefault="00D57BA3" w:rsidP="00D57BA3">
      <w:pPr>
        <w:widowControl/>
        <w:spacing w:before="150" w:after="150" w:line="240" w:lineRule="auto"/>
        <w:outlineLvl w:val="0"/>
        <w:rPr>
          <w:rFonts w:ascii="新細明體" w:eastAsia="新細明體" w:hAnsi="新細明體" w:cs="新細明體"/>
          <w:b/>
          <w:bCs/>
          <w:kern w:val="36"/>
          <w:szCs w:val="24"/>
        </w:rPr>
      </w:pPr>
      <w:bookmarkStart w:id="2" w:name="_:::民國九十九年十二月一日公布條文:::"/>
      <w:bookmarkEnd w:id="2"/>
      <w:r w:rsidRPr="00D57BA3">
        <w:rPr>
          <w:rFonts w:ascii="新細明體" w:eastAsia="新細明體" w:hAnsi="新細明體" w:cs="新細明體"/>
          <w:b/>
          <w:bCs/>
          <w:kern w:val="36"/>
          <w:szCs w:val="24"/>
        </w:rPr>
        <w:t>:::民國九十九年十二月一日公布條文:::</w:t>
      </w:r>
    </w:p>
    <w:p w:rsidR="00D57BA3" w:rsidRPr="00D57BA3" w:rsidRDefault="00D57BA3" w:rsidP="00D57BA3">
      <w:pPr>
        <w:widowControl/>
        <w:spacing w:before="150" w:after="150" w:line="240" w:lineRule="auto"/>
        <w:outlineLvl w:val="0"/>
        <w:rPr>
          <w:rFonts w:ascii="新細明體" w:eastAsia="新細明體" w:hAnsi="新細明體" w:cs="新細明體"/>
          <w:b/>
          <w:bCs/>
          <w:kern w:val="36"/>
          <w:szCs w:val="24"/>
        </w:rPr>
      </w:pPr>
      <w:r w:rsidRPr="00D57BA3">
        <w:rPr>
          <w:rFonts w:ascii="新細明體" w:eastAsia="新細明體" w:hAnsi="新細明體" w:cs="新細明體"/>
          <w:b/>
          <w:bCs/>
          <w:kern w:val="36"/>
          <w:szCs w:val="24"/>
        </w:rPr>
        <w:br/>
        <w:t>【法規內容】</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本準則依國民教育法第</w:t>
      </w:r>
      <w:hyperlink r:id="rId19" w:anchor="a13" w:history="1">
        <w:r w:rsidRPr="00D57BA3">
          <w:rPr>
            <w:rFonts w:ascii="新細明體" w:eastAsia="新細明體" w:hAnsi="新細明體" w:cs="新細明體"/>
            <w:color w:val="0000FF"/>
            <w:kern w:val="0"/>
            <w:szCs w:val="24"/>
            <w:u w:val="single"/>
          </w:rPr>
          <w:t>十三</w:t>
        </w:r>
      </w:hyperlink>
      <w:r w:rsidRPr="00D57BA3">
        <w:rPr>
          <w:rFonts w:ascii="新細明體" w:eastAsia="新細明體" w:hAnsi="新細明體" w:cs="新細明體"/>
          <w:kern w:val="0"/>
          <w:szCs w:val="24"/>
        </w:rPr>
        <w:t xml:space="preserve">條第一項規定訂定之。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第2條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國民小學及國民中學（以下簡稱國民中小學）學生成績評量旨在了解學生學習情形，激發學生多元潛能，促進學生適性發展，肯定個別學習成就，並作為教師教學改進及學生學習輔導之依據。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bookmarkStart w:id="3" w:name="a3"/>
      <w:bookmarkEnd w:id="3"/>
      <w:r w:rsidRPr="00D57BA3">
        <w:rPr>
          <w:rFonts w:ascii="新細明體" w:eastAsia="新細明體" w:hAnsi="新細明體" w:cs="新細明體"/>
          <w:b/>
          <w:bCs/>
          <w:kern w:val="0"/>
          <w:szCs w:val="24"/>
        </w:rPr>
        <w:t>第3條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國民中小學學生成績評量應依學習領域及日常生活表現，分別評量之，其評量範圍如下： </w:t>
      </w:r>
      <w:r w:rsidRPr="00D57BA3">
        <w:rPr>
          <w:rFonts w:ascii="新細明體" w:eastAsia="新細明體" w:hAnsi="新細明體" w:cs="新細明體"/>
          <w:kern w:val="0"/>
          <w:szCs w:val="24"/>
        </w:rPr>
        <w:br/>
        <w:t xml:space="preserve">　　一、學習領域評量：依能力指標、學生努力程度、進步情形，兼顧認知、技能、情意等層面，並重視各領域學習結果之分析。 </w:t>
      </w:r>
      <w:r w:rsidRPr="00D57BA3">
        <w:rPr>
          <w:rFonts w:ascii="新細明體" w:eastAsia="新細明體" w:hAnsi="新細明體" w:cs="新細明體"/>
          <w:kern w:val="0"/>
          <w:szCs w:val="24"/>
        </w:rPr>
        <w:br/>
        <w:t xml:space="preserve">　　二、日常生活表現評量：學生出缺席情形、獎懲、日常行為表現、團體活動表現、公共服務及校內外特殊表現等。 </w:t>
      </w:r>
    </w:p>
    <w:p w:rsidR="00D57BA3" w:rsidRPr="00D57BA3" w:rsidRDefault="00D57BA3" w:rsidP="00D57BA3">
      <w:pPr>
        <w:widowControl/>
        <w:spacing w:before="150" w:line="240" w:lineRule="auto"/>
        <w:outlineLvl w:val="2"/>
        <w:rPr>
          <w:rFonts w:ascii="新細明體" w:eastAsia="新細明體" w:hAnsi="新細明體" w:cs="新細明體"/>
          <w:kern w:val="0"/>
          <w:szCs w:val="24"/>
        </w:rPr>
      </w:pPr>
      <w:r w:rsidRPr="00D57BA3">
        <w:rPr>
          <w:rFonts w:ascii="新細明體" w:eastAsia="新細明體" w:hAnsi="新細明體" w:cs="新細明體"/>
          <w:kern w:val="0"/>
          <w:szCs w:val="24"/>
        </w:rPr>
        <w:t xml:space="preserve">　　　　--95年5月10日修正公布前原條文--自動比對</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t xml:space="preserve">內 容 </w:t>
      </w:r>
    </w:p>
    <w:p w:rsidR="00D57BA3" w:rsidRPr="00D57BA3" w:rsidRDefault="00D57BA3" w:rsidP="00D57BA3">
      <w:pPr>
        <w:widowControl/>
        <w:spacing w:line="240" w:lineRule="auto"/>
        <w:rPr>
          <w:rFonts w:ascii="新細明體" w:eastAsia="新細明體" w:hAnsi="新細明體" w:cs="新細明體"/>
          <w:vanish/>
          <w:kern w:val="0"/>
          <w:szCs w:val="24"/>
        </w:rPr>
      </w:pPr>
      <w:r w:rsidRPr="00D57BA3">
        <w:rPr>
          <w:rFonts w:ascii="新細明體" w:eastAsia="新細明體" w:hAnsi="新細明體" w:cs="新細明體"/>
          <w:vanish/>
          <w:kern w:val="0"/>
          <w:szCs w:val="24"/>
        </w:rPr>
        <w:br/>
        <w:t xml:space="preserve">　　國民中小學學生成績評量應依學習領域及日常生活表現，分別評量之，其評量範圍如下： </w:t>
      </w:r>
      <w:r w:rsidRPr="00D57BA3">
        <w:rPr>
          <w:rFonts w:ascii="新細明體" w:eastAsia="新細明體" w:hAnsi="新細明體" w:cs="新細明體"/>
          <w:vanish/>
          <w:kern w:val="0"/>
          <w:szCs w:val="24"/>
        </w:rPr>
        <w:br/>
        <w:t xml:space="preserve">　　一、學習領域評量：依能力指標、學生努力程度、進步情形，兼顧認知、技能、情意等層面，並重視各領域學習結果之分析。 </w:t>
      </w:r>
      <w:r w:rsidRPr="00D57BA3">
        <w:rPr>
          <w:rFonts w:ascii="新細明體" w:eastAsia="新細明體" w:hAnsi="新細明體" w:cs="新細明體"/>
          <w:vanish/>
          <w:kern w:val="0"/>
          <w:szCs w:val="24"/>
        </w:rPr>
        <w:br/>
        <w:t xml:space="preserve">　　二、日常生活表現評量：學生出席情形、獎懲、日常行為表現、團體活動表現、公共服務及校外特殊表現等。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第4條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w:t>
      </w:r>
      <w:proofErr w:type="gramStart"/>
      <w:r w:rsidRPr="00D57BA3">
        <w:rPr>
          <w:rFonts w:ascii="新細明體" w:eastAsia="新細明體" w:hAnsi="新細明體" w:cs="新細明體"/>
          <w:kern w:val="0"/>
          <w:szCs w:val="24"/>
        </w:rPr>
        <w:t>應本適性</w:t>
      </w:r>
      <w:proofErr w:type="gramEnd"/>
      <w:r w:rsidRPr="00D57BA3">
        <w:rPr>
          <w:rFonts w:ascii="新細明體" w:eastAsia="新細明體" w:hAnsi="新細明體" w:cs="新細明體"/>
          <w:kern w:val="0"/>
          <w:szCs w:val="24"/>
        </w:rPr>
        <w:t xml:space="preserve">化、多元化之原則，兼顧形成性評量、總結性評量，必要時得實施診斷性評量及安置性評量。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第5條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lastRenderedPageBreak/>
        <w:br/>
        <w:t xml:space="preserve">　　國民中小學學生成績評量，分定期評量及平時評量二種；定期評量之次數，由直轄市、縣（市）主管教育行政機關定之。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第6條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應視學生身心發展及個別差異，依各學習領域內容及活動性質，採取筆試、口試、表演、實作、作業、報告、資料蒐集整理、鑑賞、晤談、實踐等適當之多元評量方式，並得視實際需要，參酌學生自評、</w:t>
      </w:r>
      <w:proofErr w:type="gramStart"/>
      <w:r w:rsidRPr="00D57BA3">
        <w:rPr>
          <w:rFonts w:ascii="新細明體" w:eastAsia="新細明體" w:hAnsi="新細明體" w:cs="新細明體"/>
          <w:kern w:val="0"/>
          <w:szCs w:val="24"/>
        </w:rPr>
        <w:t>同儕互評辦理</w:t>
      </w:r>
      <w:proofErr w:type="gramEnd"/>
      <w:r w:rsidRPr="00D57BA3">
        <w:rPr>
          <w:rFonts w:ascii="新細明體" w:eastAsia="新細明體" w:hAnsi="新細明體" w:cs="新細明體"/>
          <w:kern w:val="0"/>
          <w:szCs w:val="24"/>
        </w:rPr>
        <w:t xml:space="preserve">之。 </w:t>
      </w:r>
      <w:r w:rsidRPr="00D57BA3">
        <w:rPr>
          <w:rFonts w:ascii="新細明體" w:eastAsia="新細明體" w:hAnsi="新細明體" w:cs="新細明體"/>
          <w:kern w:val="0"/>
          <w:szCs w:val="24"/>
        </w:rPr>
        <w:br/>
        <w:t xml:space="preserve">　　對於身心障礙學生之成績評量方式，</w:t>
      </w:r>
      <w:proofErr w:type="gramStart"/>
      <w:r w:rsidRPr="00D57BA3">
        <w:rPr>
          <w:rFonts w:ascii="新細明體" w:eastAsia="新細明體" w:hAnsi="新細明體" w:cs="新細明體"/>
          <w:kern w:val="0"/>
          <w:szCs w:val="24"/>
        </w:rPr>
        <w:t>應衡酌</w:t>
      </w:r>
      <w:proofErr w:type="gramEnd"/>
      <w:r w:rsidRPr="00D57BA3">
        <w:rPr>
          <w:rFonts w:ascii="新細明體" w:eastAsia="新細明體" w:hAnsi="新細明體" w:cs="新細明體"/>
          <w:kern w:val="0"/>
          <w:szCs w:val="24"/>
        </w:rPr>
        <w:t xml:space="preserve">其學習優勢管道彈性調整之。 </w:t>
      </w:r>
      <w:r w:rsidRPr="00D57BA3">
        <w:rPr>
          <w:rFonts w:ascii="新細明體" w:eastAsia="新細明體" w:hAnsi="新細明體" w:cs="新細明體"/>
          <w:kern w:val="0"/>
          <w:szCs w:val="24"/>
        </w:rPr>
        <w:br/>
        <w:t xml:space="preserve">　　前二項成績評量方式，由任課教師依教學計畫在學期初向學生及家長說明，並負責評量。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bookmarkStart w:id="4" w:name="a7"/>
      <w:bookmarkEnd w:id="4"/>
      <w:r w:rsidRPr="00D57BA3">
        <w:rPr>
          <w:rFonts w:ascii="新細明體" w:eastAsia="新細明體" w:hAnsi="新細明體" w:cs="新細明體"/>
          <w:b/>
          <w:bCs/>
          <w:kern w:val="0"/>
          <w:szCs w:val="24"/>
        </w:rPr>
        <w:t>第7條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國民中小學學生學習領域成績評量紀錄以量化紀錄為之；輔以文字描述時，應依評量內涵與結果予以說明，並提供具體建議。 </w:t>
      </w:r>
      <w:r w:rsidRPr="00D57BA3">
        <w:rPr>
          <w:rFonts w:ascii="新細明體" w:eastAsia="新細明體" w:hAnsi="新細明體" w:cs="新細明體"/>
          <w:kern w:val="0"/>
          <w:szCs w:val="24"/>
        </w:rPr>
        <w:br/>
        <w:t xml:space="preserve">　　前項量化紀錄得以百分制分數計之，至</w:t>
      </w:r>
      <w:proofErr w:type="gramStart"/>
      <w:r w:rsidRPr="00D57BA3">
        <w:rPr>
          <w:rFonts w:ascii="新細明體" w:eastAsia="新細明體" w:hAnsi="新細明體" w:cs="新細明體"/>
          <w:kern w:val="0"/>
          <w:szCs w:val="24"/>
        </w:rPr>
        <w:t>學期末應將</w:t>
      </w:r>
      <w:proofErr w:type="gramEnd"/>
      <w:r w:rsidRPr="00D57BA3">
        <w:rPr>
          <w:rFonts w:ascii="新細明體" w:eastAsia="新細明體" w:hAnsi="新細明體" w:cs="新細明體"/>
          <w:kern w:val="0"/>
          <w:szCs w:val="24"/>
        </w:rPr>
        <w:t xml:space="preserve">其分數依下列基準轉換為等第： </w:t>
      </w:r>
      <w:r w:rsidRPr="00D57BA3">
        <w:rPr>
          <w:rFonts w:ascii="新細明體" w:eastAsia="新細明體" w:hAnsi="新細明體" w:cs="新細明體"/>
          <w:kern w:val="0"/>
          <w:szCs w:val="24"/>
        </w:rPr>
        <w:br/>
        <w:t xml:space="preserve">　　一、優等：九十分以上。 </w:t>
      </w:r>
      <w:r w:rsidRPr="00D57BA3">
        <w:rPr>
          <w:rFonts w:ascii="新細明體" w:eastAsia="新細明體" w:hAnsi="新細明體" w:cs="新細明體"/>
          <w:kern w:val="0"/>
          <w:szCs w:val="24"/>
        </w:rPr>
        <w:br/>
        <w:t xml:space="preserve">　　二、甲等：八十分以上未滿九十分。 </w:t>
      </w:r>
      <w:r w:rsidRPr="00D57BA3">
        <w:rPr>
          <w:rFonts w:ascii="新細明體" w:eastAsia="新細明體" w:hAnsi="新細明體" w:cs="新細明體"/>
          <w:kern w:val="0"/>
          <w:szCs w:val="24"/>
        </w:rPr>
        <w:br/>
        <w:t xml:space="preserve">　　三、乙等：七十分以上未滿八十分。 </w:t>
      </w:r>
      <w:r w:rsidRPr="00D57BA3">
        <w:rPr>
          <w:rFonts w:ascii="新細明體" w:eastAsia="新細明體" w:hAnsi="新細明體" w:cs="新細明體"/>
          <w:kern w:val="0"/>
          <w:szCs w:val="24"/>
        </w:rPr>
        <w:br/>
        <w:t xml:space="preserve">　　四、丙等：六十分以上未滿七十分。 </w:t>
      </w:r>
      <w:r w:rsidRPr="00D57BA3">
        <w:rPr>
          <w:rFonts w:ascii="新細明體" w:eastAsia="新細明體" w:hAnsi="新細明體" w:cs="新細明體"/>
          <w:kern w:val="0"/>
          <w:szCs w:val="24"/>
        </w:rPr>
        <w:br/>
        <w:t xml:space="preserve">　　五、丁等：未滿六十分。 </w:t>
      </w:r>
      <w:r w:rsidRPr="00D57BA3">
        <w:rPr>
          <w:rFonts w:ascii="新細明體" w:eastAsia="新細明體" w:hAnsi="新細明體" w:cs="新細明體"/>
          <w:kern w:val="0"/>
          <w:szCs w:val="24"/>
        </w:rPr>
        <w:br/>
        <w:t xml:space="preserve">　　學生日常生活表現紀錄，應就</w:t>
      </w:r>
      <w:hyperlink r:id="rId20" w:anchor="a3" w:history="1">
        <w:r w:rsidRPr="00D57BA3">
          <w:rPr>
            <w:rFonts w:ascii="新細明體" w:eastAsia="新細明體" w:hAnsi="新細明體" w:cs="新細明體"/>
            <w:color w:val="0000FF"/>
            <w:kern w:val="0"/>
            <w:szCs w:val="24"/>
            <w:u w:val="single"/>
          </w:rPr>
          <w:t>第三條</w:t>
        </w:r>
      </w:hyperlink>
      <w:r w:rsidRPr="00D57BA3">
        <w:rPr>
          <w:rFonts w:ascii="新細明體" w:eastAsia="新細明體" w:hAnsi="新細明體" w:cs="新細明體"/>
          <w:kern w:val="0"/>
          <w:szCs w:val="24"/>
        </w:rPr>
        <w:t xml:space="preserve">第二款所列項目，分別依行為事實記錄之，並酌予提供具體建議，不作綜合性評價及等第轉化。但學校對於九十五學年度前已入學國民小學或國民中學之學生實施有困難者，得不適用之。 </w:t>
      </w:r>
    </w:p>
    <w:p w:rsidR="00D57BA3" w:rsidRPr="00D57BA3" w:rsidRDefault="00D57BA3" w:rsidP="00D57BA3">
      <w:pPr>
        <w:widowControl/>
        <w:spacing w:before="150" w:line="240" w:lineRule="auto"/>
        <w:outlineLvl w:val="2"/>
        <w:rPr>
          <w:rFonts w:ascii="新細明體" w:eastAsia="新細明體" w:hAnsi="新細明體" w:cs="新細明體"/>
          <w:kern w:val="0"/>
          <w:szCs w:val="24"/>
        </w:rPr>
      </w:pPr>
      <w:r w:rsidRPr="00D57BA3">
        <w:rPr>
          <w:rFonts w:ascii="新細明體" w:eastAsia="新細明體" w:hAnsi="新細明體" w:cs="新細明體"/>
          <w:kern w:val="0"/>
          <w:szCs w:val="24"/>
        </w:rPr>
        <w:t xml:space="preserve">　　　　--96年5月1日修正公布前原條文--自動比對</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t xml:space="preserve">內 容 </w:t>
      </w:r>
    </w:p>
    <w:p w:rsidR="00D57BA3" w:rsidRPr="00D57BA3" w:rsidRDefault="00D57BA3" w:rsidP="00D57BA3">
      <w:pPr>
        <w:widowControl/>
        <w:spacing w:line="240" w:lineRule="auto"/>
        <w:rPr>
          <w:rFonts w:ascii="新細明體" w:eastAsia="新細明體" w:hAnsi="新細明體" w:cs="新細明體"/>
          <w:vanish/>
          <w:kern w:val="0"/>
          <w:szCs w:val="24"/>
        </w:rPr>
      </w:pPr>
      <w:r w:rsidRPr="00D57BA3">
        <w:rPr>
          <w:rFonts w:ascii="新細明體" w:eastAsia="新細明體" w:hAnsi="新細明體" w:cs="新細明體"/>
          <w:vanish/>
          <w:kern w:val="0"/>
          <w:szCs w:val="24"/>
        </w:rPr>
        <w:br/>
        <w:t xml:space="preserve">　　國民中小學學生學習領域成績評量紀錄以量化紀錄為之；輔以文字描述時，應依評量內涵與結果予以說明，並提供具體建議。 </w:t>
      </w:r>
      <w:r w:rsidRPr="00D57BA3">
        <w:rPr>
          <w:rFonts w:ascii="新細明體" w:eastAsia="新細明體" w:hAnsi="新細明體" w:cs="新細明體"/>
          <w:vanish/>
          <w:kern w:val="0"/>
          <w:szCs w:val="24"/>
        </w:rPr>
        <w:br/>
        <w:t xml:space="preserve">　　前項量化紀錄得以百分制分數計之，至</w:t>
      </w:r>
      <w:proofErr w:type="gramStart"/>
      <w:r w:rsidRPr="00D57BA3">
        <w:rPr>
          <w:rFonts w:ascii="新細明體" w:eastAsia="新細明體" w:hAnsi="新細明體" w:cs="新細明體"/>
          <w:vanish/>
          <w:kern w:val="0"/>
          <w:szCs w:val="24"/>
        </w:rPr>
        <w:t>學期末應將</w:t>
      </w:r>
      <w:proofErr w:type="gramEnd"/>
      <w:r w:rsidRPr="00D57BA3">
        <w:rPr>
          <w:rFonts w:ascii="新細明體" w:eastAsia="新細明體" w:hAnsi="新細明體" w:cs="新細明體"/>
          <w:vanish/>
          <w:kern w:val="0"/>
          <w:szCs w:val="24"/>
        </w:rPr>
        <w:t xml:space="preserve">其分數依下列基準轉換為等第： </w:t>
      </w:r>
      <w:r w:rsidRPr="00D57BA3">
        <w:rPr>
          <w:rFonts w:ascii="新細明體" w:eastAsia="新細明體" w:hAnsi="新細明體" w:cs="新細明體"/>
          <w:vanish/>
          <w:kern w:val="0"/>
          <w:szCs w:val="24"/>
        </w:rPr>
        <w:br/>
        <w:t xml:space="preserve">　　一、優等：九十分以上。 </w:t>
      </w:r>
      <w:r w:rsidRPr="00D57BA3">
        <w:rPr>
          <w:rFonts w:ascii="新細明體" w:eastAsia="新細明體" w:hAnsi="新細明體" w:cs="新細明體"/>
          <w:vanish/>
          <w:kern w:val="0"/>
          <w:szCs w:val="24"/>
        </w:rPr>
        <w:br/>
        <w:t xml:space="preserve">　　二、甲等：八十分以上未滿九十分。 </w:t>
      </w:r>
      <w:r w:rsidRPr="00D57BA3">
        <w:rPr>
          <w:rFonts w:ascii="新細明體" w:eastAsia="新細明體" w:hAnsi="新細明體" w:cs="新細明體"/>
          <w:vanish/>
          <w:kern w:val="0"/>
          <w:szCs w:val="24"/>
        </w:rPr>
        <w:br/>
        <w:t xml:space="preserve">　　三、乙等：七十分以上未滿八十分。 </w:t>
      </w:r>
      <w:r w:rsidRPr="00D57BA3">
        <w:rPr>
          <w:rFonts w:ascii="新細明體" w:eastAsia="新細明體" w:hAnsi="新細明體" w:cs="新細明體"/>
          <w:vanish/>
          <w:kern w:val="0"/>
          <w:szCs w:val="24"/>
        </w:rPr>
        <w:br/>
        <w:t xml:space="preserve">　　四、丙等：六十分以上未滿七十分。 </w:t>
      </w:r>
      <w:r w:rsidRPr="00D57BA3">
        <w:rPr>
          <w:rFonts w:ascii="新細明體" w:eastAsia="新細明體" w:hAnsi="新細明體" w:cs="新細明體"/>
          <w:vanish/>
          <w:kern w:val="0"/>
          <w:szCs w:val="24"/>
        </w:rPr>
        <w:br/>
        <w:t xml:space="preserve">　　五、丁等：未滿六十分。 </w:t>
      </w:r>
      <w:r w:rsidRPr="00D57BA3">
        <w:rPr>
          <w:rFonts w:ascii="新細明體" w:eastAsia="新細明體" w:hAnsi="新細明體" w:cs="新細明體"/>
          <w:vanish/>
          <w:kern w:val="0"/>
          <w:szCs w:val="24"/>
        </w:rPr>
        <w:br/>
      </w:r>
      <w:r w:rsidRPr="00D57BA3">
        <w:rPr>
          <w:rFonts w:ascii="新細明體" w:eastAsia="新細明體" w:hAnsi="新細明體" w:cs="新細明體"/>
          <w:vanish/>
          <w:kern w:val="0"/>
          <w:szCs w:val="24"/>
        </w:rPr>
        <w:lastRenderedPageBreak/>
        <w:t xml:space="preserve">　　學生日常生活表現評量紀錄，應就</w:t>
      </w:r>
      <w:hyperlink r:id="rId21" w:anchor="a3" w:history="1">
        <w:r w:rsidRPr="00D57BA3">
          <w:rPr>
            <w:rFonts w:ascii="新細明體" w:eastAsia="新細明體" w:hAnsi="新細明體" w:cs="新細明體"/>
            <w:vanish/>
            <w:color w:val="0000FF"/>
            <w:kern w:val="0"/>
            <w:szCs w:val="24"/>
            <w:u w:val="single"/>
          </w:rPr>
          <w:t>第三條</w:t>
        </w:r>
      </w:hyperlink>
      <w:r w:rsidRPr="00D57BA3">
        <w:rPr>
          <w:rFonts w:ascii="新細明體" w:eastAsia="新細明體" w:hAnsi="新細明體" w:cs="新細明體"/>
          <w:vanish/>
          <w:kern w:val="0"/>
          <w:szCs w:val="24"/>
        </w:rPr>
        <w:t xml:space="preserve">第二款所列項目，分別依行為事實記錄之，並酌予提供具體建議，不作綜合性評價及等第轉化。 </w:t>
      </w:r>
    </w:p>
    <w:p w:rsidR="00D57BA3" w:rsidRPr="00D57BA3" w:rsidRDefault="00D57BA3" w:rsidP="00D57BA3">
      <w:pPr>
        <w:widowControl/>
        <w:spacing w:before="150" w:line="240" w:lineRule="auto"/>
        <w:outlineLvl w:val="2"/>
        <w:rPr>
          <w:rFonts w:ascii="新細明體" w:eastAsia="新細明體" w:hAnsi="新細明體" w:cs="新細明體"/>
          <w:kern w:val="0"/>
          <w:szCs w:val="24"/>
        </w:rPr>
      </w:pPr>
      <w:r w:rsidRPr="00D57BA3">
        <w:rPr>
          <w:rFonts w:ascii="新細明體" w:eastAsia="新細明體" w:hAnsi="新細明體" w:cs="新細明體"/>
          <w:kern w:val="0"/>
          <w:szCs w:val="24"/>
        </w:rPr>
        <w:t xml:space="preserve">　　　　--95年5月10日修正公布前原條文--自動比對</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t xml:space="preserve">內 容 </w:t>
      </w:r>
    </w:p>
    <w:p w:rsidR="00D57BA3" w:rsidRPr="00D57BA3" w:rsidRDefault="00D57BA3" w:rsidP="00D57BA3">
      <w:pPr>
        <w:widowControl/>
        <w:spacing w:line="240" w:lineRule="auto"/>
        <w:rPr>
          <w:rFonts w:ascii="新細明體" w:eastAsia="新細明體" w:hAnsi="新細明體" w:cs="新細明體"/>
          <w:vanish/>
          <w:kern w:val="0"/>
          <w:szCs w:val="24"/>
        </w:rPr>
      </w:pPr>
      <w:r w:rsidRPr="00D57BA3">
        <w:rPr>
          <w:rFonts w:ascii="新細明體" w:eastAsia="新細明體" w:hAnsi="新細明體" w:cs="新細明體"/>
          <w:vanish/>
          <w:kern w:val="0"/>
          <w:szCs w:val="24"/>
        </w:rPr>
        <w:br/>
        <w:t xml:space="preserve">　　國民中小學學生成績評量紀錄以量化紀錄為之；輔以文字描述時，應依評量內涵與結果予以說明，並提供具體建議。 </w:t>
      </w:r>
      <w:r w:rsidRPr="00D57BA3">
        <w:rPr>
          <w:rFonts w:ascii="新細明體" w:eastAsia="新細明體" w:hAnsi="新細明體" w:cs="新細明體"/>
          <w:vanish/>
          <w:kern w:val="0"/>
          <w:szCs w:val="24"/>
        </w:rPr>
        <w:br/>
        <w:t xml:space="preserve">　　第一項量化紀錄得以百分制分數計之，至</w:t>
      </w:r>
      <w:proofErr w:type="gramStart"/>
      <w:r w:rsidRPr="00D57BA3">
        <w:rPr>
          <w:rFonts w:ascii="新細明體" w:eastAsia="新細明體" w:hAnsi="新細明體" w:cs="新細明體"/>
          <w:vanish/>
          <w:kern w:val="0"/>
          <w:szCs w:val="24"/>
        </w:rPr>
        <w:t>學期末應將</w:t>
      </w:r>
      <w:proofErr w:type="gramEnd"/>
      <w:r w:rsidRPr="00D57BA3">
        <w:rPr>
          <w:rFonts w:ascii="新細明體" w:eastAsia="新細明體" w:hAnsi="新細明體" w:cs="新細明體"/>
          <w:vanish/>
          <w:kern w:val="0"/>
          <w:szCs w:val="24"/>
        </w:rPr>
        <w:t xml:space="preserve">其分數依下列基準轉換為等第： </w:t>
      </w:r>
      <w:r w:rsidRPr="00D57BA3">
        <w:rPr>
          <w:rFonts w:ascii="新細明體" w:eastAsia="新細明體" w:hAnsi="新細明體" w:cs="新細明體"/>
          <w:vanish/>
          <w:kern w:val="0"/>
          <w:szCs w:val="24"/>
        </w:rPr>
        <w:br/>
        <w:t xml:space="preserve">　　一、優等：九十分以上。 </w:t>
      </w:r>
      <w:r w:rsidRPr="00D57BA3">
        <w:rPr>
          <w:rFonts w:ascii="新細明體" w:eastAsia="新細明體" w:hAnsi="新細明體" w:cs="新細明體"/>
          <w:vanish/>
          <w:kern w:val="0"/>
          <w:szCs w:val="24"/>
        </w:rPr>
        <w:br/>
        <w:t xml:space="preserve">　　二、甲等：八十分以上未滿九十分。 </w:t>
      </w:r>
      <w:r w:rsidRPr="00D57BA3">
        <w:rPr>
          <w:rFonts w:ascii="新細明體" w:eastAsia="新細明體" w:hAnsi="新細明體" w:cs="新細明體"/>
          <w:vanish/>
          <w:kern w:val="0"/>
          <w:szCs w:val="24"/>
        </w:rPr>
        <w:br/>
        <w:t xml:space="preserve">　　三、乙等：七十分以上未滿八十分。 </w:t>
      </w:r>
      <w:r w:rsidRPr="00D57BA3">
        <w:rPr>
          <w:rFonts w:ascii="新細明體" w:eastAsia="新細明體" w:hAnsi="新細明體" w:cs="新細明體"/>
          <w:vanish/>
          <w:kern w:val="0"/>
          <w:szCs w:val="24"/>
        </w:rPr>
        <w:br/>
        <w:t xml:space="preserve">　　四、丙等：六十分以上未滿七十分。 </w:t>
      </w:r>
      <w:r w:rsidRPr="00D57BA3">
        <w:rPr>
          <w:rFonts w:ascii="新細明體" w:eastAsia="新細明體" w:hAnsi="新細明體" w:cs="新細明體"/>
          <w:vanish/>
          <w:kern w:val="0"/>
          <w:szCs w:val="24"/>
        </w:rPr>
        <w:br/>
        <w:t xml:space="preserve">　　五、丁等：未滿六十分。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第8條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國民中小學學生成績評量紀錄，每學期至少應以書面通知家長及學生一次；其次數、方式、內容，由直轄市、縣（市）主管教育行政機關定之。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第9條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國民中小學學生修業期滿，成績及格，由學校發給畢業證書。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第10條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國民中小學學生成績評量結果及紀錄，應本保密及維護學生權益原則，非經學校、家長及學生本人同意，不得提供作為非教育之用。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r w:rsidRPr="00D57BA3">
        <w:rPr>
          <w:rFonts w:ascii="新細明體" w:eastAsia="新細明體" w:hAnsi="新細明體" w:cs="新細明體"/>
          <w:b/>
          <w:bCs/>
          <w:kern w:val="0"/>
          <w:szCs w:val="24"/>
        </w:rPr>
        <w:t>第11條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國民中小學學生各項成績評量相關表冊，由直轄市、縣（市）主管教育行政機關定之。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bookmarkStart w:id="5" w:name="a11b1"/>
      <w:bookmarkEnd w:id="5"/>
      <w:r w:rsidRPr="00D57BA3">
        <w:rPr>
          <w:rFonts w:ascii="新細明體" w:eastAsia="新細明體" w:hAnsi="新細明體" w:cs="新細明體"/>
          <w:b/>
          <w:bCs/>
          <w:kern w:val="0"/>
          <w:szCs w:val="24"/>
        </w:rPr>
        <w:t>第11-1條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國民中學為輔導學生升學所辦理之模擬升學測驗，其成績不得納入學生評量成績計算；相關處理原則，依中央主管教育行政機關之規定。 </w:t>
      </w:r>
    </w:p>
    <w:p w:rsidR="00D57BA3" w:rsidRPr="00D57BA3" w:rsidRDefault="00D57BA3" w:rsidP="00D57BA3">
      <w:pPr>
        <w:widowControl/>
        <w:spacing w:before="75" w:line="240" w:lineRule="auto"/>
        <w:outlineLvl w:val="5"/>
        <w:rPr>
          <w:rFonts w:ascii="新細明體" w:eastAsia="新細明體" w:hAnsi="新細明體" w:cs="新細明體"/>
          <w:b/>
          <w:bCs/>
          <w:kern w:val="0"/>
          <w:szCs w:val="24"/>
        </w:rPr>
      </w:pPr>
      <w:bookmarkStart w:id="6" w:name="a12"/>
      <w:bookmarkEnd w:id="6"/>
      <w:r w:rsidRPr="00D57BA3">
        <w:rPr>
          <w:rFonts w:ascii="新細明體" w:eastAsia="新細明體" w:hAnsi="新細明體" w:cs="新細明體"/>
          <w:b/>
          <w:bCs/>
          <w:kern w:val="0"/>
          <w:szCs w:val="24"/>
        </w:rPr>
        <w:t>第12條</w:t>
      </w:r>
    </w:p>
    <w:p w:rsidR="00D57BA3" w:rsidRPr="00D57BA3" w:rsidRDefault="00D57BA3" w:rsidP="00D57BA3">
      <w:pPr>
        <w:widowControl/>
        <w:spacing w:line="240" w:lineRule="auto"/>
        <w:rPr>
          <w:rFonts w:ascii="新細明體" w:eastAsia="新細明體" w:hAnsi="新細明體" w:cs="新細明體"/>
          <w:kern w:val="0"/>
          <w:szCs w:val="24"/>
        </w:rPr>
      </w:pPr>
      <w:r w:rsidRPr="00D57BA3">
        <w:rPr>
          <w:rFonts w:ascii="新細明體" w:eastAsia="新細明體" w:hAnsi="新細明體" w:cs="新細明體"/>
          <w:kern w:val="0"/>
          <w:szCs w:val="24"/>
        </w:rPr>
        <w:br/>
        <w:t xml:space="preserve">　　本準則自中華民國九十年八月一日施行。 </w:t>
      </w:r>
      <w:r w:rsidRPr="00D57BA3">
        <w:rPr>
          <w:rFonts w:ascii="新細明體" w:eastAsia="新細明體" w:hAnsi="新細明體" w:cs="新細明體"/>
          <w:kern w:val="0"/>
          <w:szCs w:val="24"/>
        </w:rPr>
        <w:br/>
        <w:t xml:space="preserve">　　本準則九十三年十二月三十一日修正之條文自九十四年八月一日施行。 </w:t>
      </w:r>
      <w:r w:rsidRPr="00D57BA3">
        <w:rPr>
          <w:rFonts w:ascii="新細明體" w:eastAsia="新細明體" w:hAnsi="新細明體" w:cs="新細明體"/>
          <w:kern w:val="0"/>
          <w:szCs w:val="24"/>
        </w:rPr>
        <w:br/>
      </w:r>
      <w:r w:rsidRPr="00D57BA3">
        <w:rPr>
          <w:rFonts w:ascii="新細明體" w:eastAsia="新細明體" w:hAnsi="新細明體" w:cs="新細明體"/>
          <w:kern w:val="0"/>
          <w:szCs w:val="24"/>
        </w:rPr>
        <w:lastRenderedPageBreak/>
        <w:t xml:space="preserve">　　本準則九十五年五月十日及九十六年五月一日修正之條文，自九十五年八月一日施行。 </w:t>
      </w:r>
      <w:r w:rsidRPr="00D57BA3">
        <w:rPr>
          <w:rFonts w:ascii="新細明體" w:eastAsia="新細明體" w:hAnsi="新細明體" w:cs="新細明體"/>
          <w:kern w:val="0"/>
          <w:szCs w:val="24"/>
        </w:rPr>
        <w:br/>
        <w:t xml:space="preserve">　　本準則九十九年十二月一日修正之第</w:t>
      </w:r>
      <w:hyperlink r:id="rId22" w:anchor="a11b1" w:history="1">
        <w:r w:rsidRPr="00D57BA3">
          <w:rPr>
            <w:rFonts w:ascii="新細明體" w:eastAsia="新細明體" w:hAnsi="新細明體" w:cs="新細明體"/>
            <w:color w:val="0000FF"/>
            <w:kern w:val="0"/>
            <w:szCs w:val="24"/>
            <w:u w:val="single"/>
          </w:rPr>
          <w:t>十一條之</w:t>
        </w:r>
        <w:proofErr w:type="gramStart"/>
        <w:r w:rsidRPr="00D57BA3">
          <w:rPr>
            <w:rFonts w:ascii="新細明體" w:eastAsia="新細明體" w:hAnsi="新細明體" w:cs="新細明體"/>
            <w:color w:val="0000FF"/>
            <w:kern w:val="0"/>
            <w:szCs w:val="24"/>
            <w:u w:val="single"/>
          </w:rPr>
          <w:t>一</w:t>
        </w:r>
        <w:proofErr w:type="gramEnd"/>
      </w:hyperlink>
      <w:r w:rsidRPr="00D57BA3">
        <w:rPr>
          <w:rFonts w:ascii="新細明體" w:eastAsia="新細明體" w:hAnsi="新細明體" w:cs="新細明體"/>
          <w:kern w:val="0"/>
          <w:szCs w:val="24"/>
        </w:rPr>
        <w:t xml:space="preserve">，自一百年二月一日施行。 </w:t>
      </w:r>
    </w:p>
    <w:p w:rsidR="004E2BD8" w:rsidRDefault="004E2BD8"/>
    <w:sectPr w:rsidR="004E2BD8" w:rsidSect="004E2BD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BA3"/>
    <w:rsid w:val="004E2BD8"/>
    <w:rsid w:val="00531534"/>
    <w:rsid w:val="00D57B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BD8"/>
    <w:pPr>
      <w:widowControl w:val="0"/>
    </w:pPr>
  </w:style>
  <w:style w:type="paragraph" w:styleId="1">
    <w:name w:val="heading 1"/>
    <w:basedOn w:val="a"/>
    <w:link w:val="10"/>
    <w:uiPriority w:val="9"/>
    <w:qFormat/>
    <w:rsid w:val="00D57BA3"/>
    <w:pPr>
      <w:widowControl/>
      <w:spacing w:before="150" w:after="150" w:line="240" w:lineRule="auto"/>
      <w:outlineLvl w:val="0"/>
    </w:pPr>
    <w:rPr>
      <w:rFonts w:ascii="新細明體" w:eastAsia="新細明體" w:hAnsi="新細明體" w:cs="新細明體"/>
      <w:b/>
      <w:bCs/>
      <w:kern w:val="36"/>
      <w:szCs w:val="24"/>
    </w:rPr>
  </w:style>
  <w:style w:type="paragraph" w:styleId="2">
    <w:name w:val="heading 2"/>
    <w:basedOn w:val="a"/>
    <w:link w:val="20"/>
    <w:uiPriority w:val="9"/>
    <w:qFormat/>
    <w:rsid w:val="00D57BA3"/>
    <w:pPr>
      <w:widowControl/>
      <w:spacing w:before="150" w:line="240" w:lineRule="auto"/>
      <w:outlineLvl w:val="1"/>
    </w:pPr>
    <w:rPr>
      <w:rFonts w:ascii="新細明體" w:eastAsia="新細明體" w:hAnsi="新細明體" w:cs="新細明體"/>
      <w:b/>
      <w:bCs/>
      <w:kern w:val="0"/>
      <w:szCs w:val="24"/>
    </w:rPr>
  </w:style>
  <w:style w:type="paragraph" w:styleId="3">
    <w:name w:val="heading 3"/>
    <w:basedOn w:val="a"/>
    <w:link w:val="30"/>
    <w:uiPriority w:val="9"/>
    <w:qFormat/>
    <w:rsid w:val="00D57BA3"/>
    <w:pPr>
      <w:widowControl/>
      <w:spacing w:before="150" w:line="240" w:lineRule="auto"/>
      <w:outlineLvl w:val="2"/>
    </w:pPr>
    <w:rPr>
      <w:rFonts w:ascii="新細明體" w:eastAsia="新細明體" w:hAnsi="新細明體" w:cs="新細明體"/>
      <w:kern w:val="0"/>
      <w:szCs w:val="24"/>
    </w:rPr>
  </w:style>
  <w:style w:type="paragraph" w:styleId="4">
    <w:name w:val="heading 4"/>
    <w:basedOn w:val="a"/>
    <w:link w:val="40"/>
    <w:uiPriority w:val="9"/>
    <w:qFormat/>
    <w:rsid w:val="00D57BA3"/>
    <w:pPr>
      <w:widowControl/>
      <w:spacing w:before="75" w:after="75" w:line="240" w:lineRule="auto"/>
      <w:outlineLvl w:val="3"/>
    </w:pPr>
    <w:rPr>
      <w:rFonts w:ascii="新細明體" w:eastAsia="新細明體" w:hAnsi="新細明體" w:cs="新細明體"/>
      <w:b/>
      <w:bCs/>
      <w:kern w:val="0"/>
      <w:sz w:val="34"/>
      <w:szCs w:val="34"/>
    </w:rPr>
  </w:style>
  <w:style w:type="paragraph" w:styleId="5">
    <w:name w:val="heading 5"/>
    <w:basedOn w:val="a"/>
    <w:link w:val="50"/>
    <w:uiPriority w:val="9"/>
    <w:qFormat/>
    <w:rsid w:val="00D57BA3"/>
    <w:pPr>
      <w:widowControl/>
      <w:spacing w:before="150" w:after="150" w:line="240" w:lineRule="auto"/>
      <w:outlineLvl w:val="4"/>
    </w:pPr>
    <w:rPr>
      <w:rFonts w:ascii="新細明體" w:eastAsia="新細明體" w:hAnsi="新細明體" w:cs="新細明體"/>
      <w:b/>
      <w:bCs/>
      <w:kern w:val="0"/>
      <w:szCs w:val="24"/>
    </w:rPr>
  </w:style>
  <w:style w:type="paragraph" w:styleId="6">
    <w:name w:val="heading 6"/>
    <w:basedOn w:val="a"/>
    <w:link w:val="60"/>
    <w:uiPriority w:val="9"/>
    <w:qFormat/>
    <w:rsid w:val="00D57BA3"/>
    <w:pPr>
      <w:widowControl/>
      <w:spacing w:before="75" w:line="240" w:lineRule="auto"/>
      <w:outlineLvl w:val="5"/>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7BA3"/>
    <w:rPr>
      <w:rFonts w:ascii="新細明體" w:eastAsia="新細明體" w:hAnsi="新細明體" w:cs="新細明體"/>
      <w:b/>
      <w:bCs/>
      <w:kern w:val="36"/>
      <w:szCs w:val="24"/>
    </w:rPr>
  </w:style>
  <w:style w:type="character" w:customStyle="1" w:styleId="20">
    <w:name w:val="標題 2 字元"/>
    <w:basedOn w:val="a0"/>
    <w:link w:val="2"/>
    <w:uiPriority w:val="9"/>
    <w:rsid w:val="00D57BA3"/>
    <w:rPr>
      <w:rFonts w:ascii="新細明體" w:eastAsia="新細明體" w:hAnsi="新細明體" w:cs="新細明體"/>
      <w:b/>
      <w:bCs/>
      <w:kern w:val="0"/>
      <w:szCs w:val="24"/>
    </w:rPr>
  </w:style>
  <w:style w:type="character" w:customStyle="1" w:styleId="30">
    <w:name w:val="標題 3 字元"/>
    <w:basedOn w:val="a0"/>
    <w:link w:val="3"/>
    <w:uiPriority w:val="9"/>
    <w:rsid w:val="00D57BA3"/>
    <w:rPr>
      <w:rFonts w:ascii="新細明體" w:eastAsia="新細明體" w:hAnsi="新細明體" w:cs="新細明體"/>
      <w:kern w:val="0"/>
      <w:szCs w:val="24"/>
    </w:rPr>
  </w:style>
  <w:style w:type="character" w:customStyle="1" w:styleId="40">
    <w:name w:val="標題 4 字元"/>
    <w:basedOn w:val="a0"/>
    <w:link w:val="4"/>
    <w:uiPriority w:val="9"/>
    <w:rsid w:val="00D57BA3"/>
    <w:rPr>
      <w:rFonts w:ascii="新細明體" w:eastAsia="新細明體" w:hAnsi="新細明體" w:cs="新細明體"/>
      <w:b/>
      <w:bCs/>
      <w:kern w:val="0"/>
      <w:sz w:val="34"/>
      <w:szCs w:val="34"/>
    </w:rPr>
  </w:style>
  <w:style w:type="character" w:customStyle="1" w:styleId="50">
    <w:name w:val="標題 5 字元"/>
    <w:basedOn w:val="a0"/>
    <w:link w:val="5"/>
    <w:uiPriority w:val="9"/>
    <w:rsid w:val="00D57BA3"/>
    <w:rPr>
      <w:rFonts w:ascii="新細明體" w:eastAsia="新細明體" w:hAnsi="新細明體" w:cs="新細明體"/>
      <w:b/>
      <w:bCs/>
      <w:kern w:val="0"/>
      <w:szCs w:val="24"/>
    </w:rPr>
  </w:style>
  <w:style w:type="character" w:customStyle="1" w:styleId="60">
    <w:name w:val="標題 6 字元"/>
    <w:basedOn w:val="a0"/>
    <w:link w:val="6"/>
    <w:uiPriority w:val="9"/>
    <w:rsid w:val="00D57BA3"/>
    <w:rPr>
      <w:rFonts w:ascii="新細明體" w:eastAsia="新細明體" w:hAnsi="新細明體" w:cs="新細明體"/>
      <w:b/>
      <w:bCs/>
      <w:kern w:val="0"/>
      <w:szCs w:val="24"/>
    </w:rPr>
  </w:style>
  <w:style w:type="character" w:styleId="a3">
    <w:name w:val="Hyperlink"/>
    <w:basedOn w:val="a0"/>
    <w:uiPriority w:val="99"/>
    <w:semiHidden/>
    <w:unhideWhenUsed/>
    <w:rsid w:val="00D57BA3"/>
    <w:rPr>
      <w:color w:val="0000FF"/>
      <w:u w:val="single"/>
    </w:rPr>
  </w:style>
</w:styles>
</file>

<file path=word/webSettings.xml><?xml version="1.0" encoding="utf-8"?>
<w:webSettings xmlns:r="http://schemas.openxmlformats.org/officeDocument/2006/relationships" xmlns:w="http://schemas.openxmlformats.org/wordprocessingml/2006/main">
  <w:divs>
    <w:div w:id="1317103949">
      <w:bodyDiv w:val="1"/>
      <w:marLeft w:val="0"/>
      <w:marRight w:val="0"/>
      <w:marTop w:val="0"/>
      <w:marBottom w:val="0"/>
      <w:divBdr>
        <w:top w:val="none" w:sz="0" w:space="0" w:color="auto"/>
        <w:left w:val="none" w:sz="0" w:space="0" w:color="auto"/>
        <w:bottom w:val="none" w:sz="0" w:space="0" w:color="auto"/>
        <w:right w:val="none" w:sz="0" w:space="0" w:color="auto"/>
      </w:divBdr>
      <w:divsChild>
        <w:div w:id="2036417699">
          <w:marLeft w:val="0"/>
          <w:marRight w:val="0"/>
          <w:marTop w:val="0"/>
          <w:marBottom w:val="0"/>
          <w:divBdr>
            <w:top w:val="none" w:sz="0" w:space="0" w:color="auto"/>
            <w:left w:val="none" w:sz="0" w:space="0" w:color="auto"/>
            <w:bottom w:val="none" w:sz="0" w:space="0" w:color="auto"/>
            <w:right w:val="none" w:sz="0" w:space="0" w:color="auto"/>
          </w:divBdr>
          <w:divsChild>
            <w:div w:id="365646493">
              <w:marLeft w:val="0"/>
              <w:marRight w:val="0"/>
              <w:marTop w:val="0"/>
              <w:marBottom w:val="0"/>
              <w:divBdr>
                <w:top w:val="none" w:sz="0" w:space="0" w:color="auto"/>
                <w:left w:val="none" w:sz="0" w:space="0" w:color="auto"/>
                <w:bottom w:val="none" w:sz="0" w:space="0" w:color="auto"/>
                <w:right w:val="none" w:sz="0" w:space="0" w:color="auto"/>
              </w:divBdr>
              <w:divsChild>
                <w:div w:id="1238974936">
                  <w:marLeft w:val="0"/>
                  <w:marRight w:val="0"/>
                  <w:marTop w:val="0"/>
                  <w:marBottom w:val="0"/>
                  <w:divBdr>
                    <w:top w:val="none" w:sz="0" w:space="0" w:color="auto"/>
                    <w:left w:val="none" w:sz="0" w:space="0" w:color="auto"/>
                    <w:bottom w:val="none" w:sz="0" w:space="0" w:color="auto"/>
                    <w:right w:val="none" w:sz="0" w:space="0" w:color="auto"/>
                  </w:divBdr>
                  <w:divsChild>
                    <w:div w:id="1989439588">
                      <w:marLeft w:val="0"/>
                      <w:marRight w:val="0"/>
                      <w:marTop w:val="0"/>
                      <w:marBottom w:val="0"/>
                      <w:divBdr>
                        <w:top w:val="none" w:sz="0" w:space="0" w:color="auto"/>
                        <w:left w:val="none" w:sz="0" w:space="0" w:color="auto"/>
                        <w:bottom w:val="none" w:sz="0" w:space="0" w:color="auto"/>
                        <w:right w:val="none" w:sz="0" w:space="0" w:color="auto"/>
                      </w:divBdr>
                      <w:divsChild>
                        <w:div w:id="665716206">
                          <w:marLeft w:val="0"/>
                          <w:marRight w:val="0"/>
                          <w:marTop w:val="0"/>
                          <w:marBottom w:val="0"/>
                          <w:divBdr>
                            <w:top w:val="none" w:sz="0" w:space="0" w:color="auto"/>
                            <w:left w:val="none" w:sz="0" w:space="0" w:color="auto"/>
                            <w:bottom w:val="none" w:sz="0" w:space="0" w:color="auto"/>
                            <w:right w:val="none" w:sz="0" w:space="0" w:color="auto"/>
                          </w:divBdr>
                          <w:divsChild>
                            <w:div w:id="175390719">
                              <w:marLeft w:val="0"/>
                              <w:marRight w:val="0"/>
                              <w:marTop w:val="0"/>
                              <w:marBottom w:val="0"/>
                              <w:divBdr>
                                <w:top w:val="none" w:sz="0" w:space="0" w:color="auto"/>
                                <w:left w:val="none" w:sz="0" w:space="0" w:color="auto"/>
                                <w:bottom w:val="none" w:sz="0" w:space="0" w:color="auto"/>
                                <w:right w:val="none" w:sz="0" w:space="0" w:color="auto"/>
                              </w:divBdr>
                              <w:divsChild>
                                <w:div w:id="2076969274">
                                  <w:marLeft w:val="0"/>
                                  <w:marRight w:val="0"/>
                                  <w:marTop w:val="0"/>
                                  <w:marBottom w:val="0"/>
                                  <w:divBdr>
                                    <w:top w:val="none" w:sz="0" w:space="0" w:color="auto"/>
                                    <w:left w:val="none" w:sz="0" w:space="0" w:color="auto"/>
                                    <w:bottom w:val="none" w:sz="0" w:space="0" w:color="auto"/>
                                    <w:right w:val="none" w:sz="0" w:space="0" w:color="auto"/>
                                  </w:divBdr>
                                  <w:divsChild>
                                    <w:div w:id="1755202264">
                                      <w:marLeft w:val="0"/>
                                      <w:marRight w:val="0"/>
                                      <w:marTop w:val="0"/>
                                      <w:marBottom w:val="0"/>
                                      <w:divBdr>
                                        <w:top w:val="none" w:sz="0" w:space="0" w:color="auto"/>
                                        <w:left w:val="none" w:sz="0" w:space="0" w:color="auto"/>
                                        <w:bottom w:val="none" w:sz="0" w:space="0" w:color="auto"/>
                                        <w:right w:val="none" w:sz="0" w:space="0" w:color="auto"/>
                                      </w:divBdr>
                                      <w:divsChild>
                                        <w:div w:id="740297121">
                                          <w:marLeft w:val="0"/>
                                          <w:marRight w:val="0"/>
                                          <w:marTop w:val="0"/>
                                          <w:marBottom w:val="0"/>
                                          <w:divBdr>
                                            <w:top w:val="none" w:sz="0" w:space="0" w:color="auto"/>
                                            <w:left w:val="none" w:sz="0" w:space="0" w:color="auto"/>
                                            <w:bottom w:val="none" w:sz="0" w:space="0" w:color="auto"/>
                                            <w:right w:val="none" w:sz="0" w:space="0" w:color="auto"/>
                                          </w:divBdr>
                                          <w:divsChild>
                                            <w:div w:id="602879471">
                                              <w:marLeft w:val="0"/>
                                              <w:marRight w:val="0"/>
                                              <w:marTop w:val="0"/>
                                              <w:marBottom w:val="0"/>
                                              <w:divBdr>
                                                <w:top w:val="none" w:sz="0" w:space="0" w:color="auto"/>
                                                <w:left w:val="none" w:sz="0" w:space="0" w:color="auto"/>
                                                <w:bottom w:val="none" w:sz="0" w:space="0" w:color="auto"/>
                                                <w:right w:val="none" w:sz="0" w:space="0" w:color="auto"/>
                                              </w:divBdr>
                                              <w:divsChild>
                                                <w:div w:id="679894187">
                                                  <w:marLeft w:val="0"/>
                                                  <w:marRight w:val="0"/>
                                                  <w:marTop w:val="0"/>
                                                  <w:marBottom w:val="0"/>
                                                  <w:divBdr>
                                                    <w:top w:val="none" w:sz="0" w:space="0" w:color="auto"/>
                                                    <w:left w:val="none" w:sz="0" w:space="0" w:color="auto"/>
                                                    <w:bottom w:val="none" w:sz="0" w:space="0" w:color="auto"/>
                                                    <w:right w:val="none" w:sz="0" w:space="0" w:color="auto"/>
                                                  </w:divBdr>
                                                  <w:divsChild>
                                                    <w:div w:id="1527059462">
                                                      <w:marLeft w:val="0"/>
                                                      <w:marRight w:val="0"/>
                                                      <w:marTop w:val="0"/>
                                                      <w:marBottom w:val="0"/>
                                                      <w:divBdr>
                                                        <w:top w:val="none" w:sz="0" w:space="0" w:color="auto"/>
                                                        <w:left w:val="none" w:sz="0" w:space="0" w:color="auto"/>
                                                        <w:bottom w:val="none" w:sz="0" w:space="0" w:color="auto"/>
                                                        <w:right w:val="none" w:sz="0" w:space="0" w:color="auto"/>
                                                      </w:divBdr>
                                                      <w:divsChild>
                                                        <w:div w:id="1070078897">
                                                          <w:marLeft w:val="0"/>
                                                          <w:marRight w:val="0"/>
                                                          <w:marTop w:val="0"/>
                                                          <w:marBottom w:val="0"/>
                                                          <w:divBdr>
                                                            <w:top w:val="none" w:sz="0" w:space="0" w:color="auto"/>
                                                            <w:left w:val="none" w:sz="0" w:space="0" w:color="auto"/>
                                                            <w:bottom w:val="none" w:sz="0" w:space="0" w:color="auto"/>
                                                            <w:right w:val="none" w:sz="0" w:space="0" w:color="auto"/>
                                                          </w:divBdr>
                                                          <w:divsChild>
                                                            <w:div w:id="642849081">
                                                              <w:marLeft w:val="0"/>
                                                              <w:marRight w:val="0"/>
                                                              <w:marTop w:val="0"/>
                                                              <w:marBottom w:val="0"/>
                                                              <w:divBdr>
                                                                <w:top w:val="none" w:sz="0" w:space="0" w:color="auto"/>
                                                                <w:left w:val="none" w:sz="0" w:space="0" w:color="auto"/>
                                                                <w:bottom w:val="none" w:sz="0" w:space="0" w:color="auto"/>
                                                                <w:right w:val="none" w:sz="0" w:space="0" w:color="auto"/>
                                                              </w:divBdr>
                                                              <w:divsChild>
                                                                <w:div w:id="559369686">
                                                                  <w:marLeft w:val="0"/>
                                                                  <w:marRight w:val="0"/>
                                                                  <w:marTop w:val="0"/>
                                                                  <w:marBottom w:val="0"/>
                                                                  <w:divBdr>
                                                                    <w:top w:val="none" w:sz="0" w:space="0" w:color="auto"/>
                                                                    <w:left w:val="none" w:sz="0" w:space="0" w:color="auto"/>
                                                                    <w:bottom w:val="none" w:sz="0" w:space="0" w:color="auto"/>
                                                                    <w:right w:val="none" w:sz="0" w:space="0" w:color="auto"/>
                                                                  </w:divBdr>
                                                                  <w:divsChild>
                                                                    <w:div w:id="608053189">
                                                                      <w:marLeft w:val="0"/>
                                                                      <w:marRight w:val="0"/>
                                                                      <w:marTop w:val="0"/>
                                                                      <w:marBottom w:val="0"/>
                                                                      <w:divBdr>
                                                                        <w:top w:val="none" w:sz="0" w:space="0" w:color="auto"/>
                                                                        <w:left w:val="none" w:sz="0" w:space="0" w:color="auto"/>
                                                                        <w:bottom w:val="none" w:sz="0" w:space="0" w:color="auto"/>
                                                                        <w:right w:val="none" w:sz="0" w:space="0" w:color="auto"/>
                                                                      </w:divBdr>
                                                                    </w:div>
                                                                    <w:div w:id="594284903">
                                                                      <w:marLeft w:val="0"/>
                                                                      <w:marRight w:val="0"/>
                                                                      <w:marTop w:val="0"/>
                                                                      <w:marBottom w:val="0"/>
                                                                      <w:divBdr>
                                                                        <w:top w:val="none" w:sz="0" w:space="0" w:color="auto"/>
                                                                        <w:left w:val="none" w:sz="0" w:space="0" w:color="auto"/>
                                                                        <w:bottom w:val="none" w:sz="0" w:space="0" w:color="auto"/>
                                                                        <w:right w:val="none" w:sz="0" w:space="0" w:color="auto"/>
                                                                      </w:divBdr>
                                                                      <w:divsChild>
                                                                        <w:div w:id="295139384">
                                                                          <w:marLeft w:val="0"/>
                                                                          <w:marRight w:val="0"/>
                                                                          <w:marTop w:val="0"/>
                                                                          <w:marBottom w:val="0"/>
                                                                          <w:divBdr>
                                                                            <w:top w:val="none" w:sz="0" w:space="0" w:color="auto"/>
                                                                            <w:left w:val="none" w:sz="0" w:space="0" w:color="auto"/>
                                                                            <w:bottom w:val="none" w:sz="0" w:space="0" w:color="auto"/>
                                                                            <w:right w:val="none" w:sz="0" w:space="0" w:color="auto"/>
                                                                          </w:divBdr>
                                                                          <w:divsChild>
                                                                            <w:div w:id="1262181634">
                                                                              <w:marLeft w:val="0"/>
                                                                              <w:marRight w:val="0"/>
                                                                              <w:marTop w:val="0"/>
                                                                              <w:marBottom w:val="0"/>
                                                                              <w:divBdr>
                                                                                <w:top w:val="none" w:sz="0" w:space="0" w:color="auto"/>
                                                                                <w:left w:val="none" w:sz="0" w:space="0" w:color="auto"/>
                                                                                <w:bottom w:val="none" w:sz="0" w:space="0" w:color="auto"/>
                                                                                <w:right w:val="none" w:sz="0" w:space="0" w:color="auto"/>
                                                                              </w:divBdr>
                                                                            </w:div>
                                                                            <w:div w:id="675617277">
                                                                              <w:marLeft w:val="0"/>
                                                                              <w:marRight w:val="0"/>
                                                                              <w:marTop w:val="0"/>
                                                                              <w:marBottom w:val="0"/>
                                                                              <w:divBdr>
                                                                                <w:top w:val="none" w:sz="0" w:space="0" w:color="auto"/>
                                                                                <w:left w:val="none" w:sz="0" w:space="0" w:color="auto"/>
                                                                                <w:bottom w:val="none" w:sz="0" w:space="0" w:color="auto"/>
                                                                                <w:right w:val="none" w:sz="0" w:space="0" w:color="auto"/>
                                                                              </w:divBdr>
                                                                            </w:div>
                                                                            <w:div w:id="987785964">
                                                                              <w:marLeft w:val="0"/>
                                                                              <w:marRight w:val="0"/>
                                                                              <w:marTop w:val="0"/>
                                                                              <w:marBottom w:val="0"/>
                                                                              <w:divBdr>
                                                                                <w:top w:val="none" w:sz="0" w:space="0" w:color="auto"/>
                                                                                <w:left w:val="none" w:sz="0" w:space="0" w:color="auto"/>
                                                                                <w:bottom w:val="none" w:sz="0" w:space="0" w:color="auto"/>
                                                                                <w:right w:val="none" w:sz="0" w:space="0" w:color="auto"/>
                                                                              </w:divBdr>
                                                                              <w:divsChild>
                                                                                <w:div w:id="1082991209">
                                                                                  <w:marLeft w:val="0"/>
                                                                                  <w:marRight w:val="0"/>
                                                                                  <w:marTop w:val="0"/>
                                                                                  <w:marBottom w:val="0"/>
                                                                                  <w:divBdr>
                                                                                    <w:top w:val="none" w:sz="0" w:space="0" w:color="auto"/>
                                                                                    <w:left w:val="none" w:sz="0" w:space="0" w:color="auto"/>
                                                                                    <w:bottom w:val="none" w:sz="0" w:space="0" w:color="auto"/>
                                                                                    <w:right w:val="none" w:sz="0" w:space="0" w:color="auto"/>
                                                                                  </w:divBdr>
                                                                                  <w:divsChild>
                                                                                    <w:div w:id="633485991">
                                                                                      <w:marLeft w:val="0"/>
                                                                                      <w:marRight w:val="0"/>
                                                                                      <w:marTop w:val="0"/>
                                                                                      <w:marBottom w:val="0"/>
                                                                                      <w:divBdr>
                                                                                        <w:top w:val="none" w:sz="0" w:space="0" w:color="auto"/>
                                                                                        <w:left w:val="none" w:sz="0" w:space="0" w:color="auto"/>
                                                                                        <w:bottom w:val="none" w:sz="0" w:space="0" w:color="auto"/>
                                                                                        <w:right w:val="none" w:sz="0" w:space="0" w:color="auto"/>
                                                                                      </w:divBdr>
                                                                                      <w:divsChild>
                                                                                        <w:div w:id="47345463">
                                                                                          <w:marLeft w:val="0"/>
                                                                                          <w:marRight w:val="0"/>
                                                                                          <w:marTop w:val="0"/>
                                                                                          <w:marBottom w:val="0"/>
                                                                                          <w:divBdr>
                                                                                            <w:top w:val="none" w:sz="0" w:space="0" w:color="auto"/>
                                                                                            <w:left w:val="none" w:sz="0" w:space="0" w:color="auto"/>
                                                                                            <w:bottom w:val="none" w:sz="0" w:space="0" w:color="auto"/>
                                                                                            <w:right w:val="none" w:sz="0" w:space="0" w:color="auto"/>
                                                                                          </w:divBdr>
                                                                                        </w:div>
                                                                                        <w:div w:id="1147358644">
                                                                                          <w:marLeft w:val="0"/>
                                                                                          <w:marRight w:val="0"/>
                                                                                          <w:marTop w:val="0"/>
                                                                                          <w:marBottom w:val="0"/>
                                                                                          <w:divBdr>
                                                                                            <w:top w:val="none" w:sz="0" w:space="0" w:color="auto"/>
                                                                                            <w:left w:val="none" w:sz="0" w:space="0" w:color="auto"/>
                                                                                            <w:bottom w:val="none" w:sz="0" w:space="0" w:color="auto"/>
                                                                                            <w:right w:val="none" w:sz="0" w:space="0" w:color="auto"/>
                                                                                          </w:divBdr>
                                                                                        </w:div>
                                                                                        <w:div w:id="91247034">
                                                                                          <w:marLeft w:val="0"/>
                                                                                          <w:marRight w:val="0"/>
                                                                                          <w:marTop w:val="0"/>
                                                                                          <w:marBottom w:val="0"/>
                                                                                          <w:divBdr>
                                                                                            <w:top w:val="none" w:sz="0" w:space="0" w:color="auto"/>
                                                                                            <w:left w:val="none" w:sz="0" w:space="0" w:color="auto"/>
                                                                                            <w:bottom w:val="none" w:sz="0" w:space="0" w:color="auto"/>
                                                                                            <w:right w:val="none" w:sz="0" w:space="0" w:color="auto"/>
                                                                                          </w:divBdr>
                                                                                        </w:div>
                                                                                        <w:div w:id="554852033">
                                                                                          <w:marLeft w:val="0"/>
                                                                                          <w:marRight w:val="0"/>
                                                                                          <w:marTop w:val="0"/>
                                                                                          <w:marBottom w:val="0"/>
                                                                                          <w:divBdr>
                                                                                            <w:top w:val="none" w:sz="0" w:space="0" w:color="auto"/>
                                                                                            <w:left w:val="none" w:sz="0" w:space="0" w:color="auto"/>
                                                                                            <w:bottom w:val="none" w:sz="0" w:space="0" w:color="auto"/>
                                                                                            <w:right w:val="none" w:sz="0" w:space="0" w:color="auto"/>
                                                                                          </w:divBdr>
                                                                                          <w:divsChild>
                                                                                            <w:div w:id="136462701">
                                                                                              <w:marLeft w:val="0"/>
                                                                                              <w:marRight w:val="0"/>
                                                                                              <w:marTop w:val="0"/>
                                                                                              <w:marBottom w:val="0"/>
                                                                                              <w:divBdr>
                                                                                                <w:top w:val="none" w:sz="0" w:space="0" w:color="auto"/>
                                                                                                <w:left w:val="none" w:sz="0" w:space="0" w:color="auto"/>
                                                                                                <w:bottom w:val="none" w:sz="0" w:space="0" w:color="auto"/>
                                                                                                <w:right w:val="none" w:sz="0" w:space="0" w:color="auto"/>
                                                                                              </w:divBdr>
                                                                                              <w:divsChild>
                                                                                                <w:div w:id="368922776">
                                                                                                  <w:marLeft w:val="0"/>
                                                                                                  <w:marRight w:val="0"/>
                                                                                                  <w:marTop w:val="0"/>
                                                                                                  <w:marBottom w:val="0"/>
                                                                                                  <w:divBdr>
                                                                                                    <w:top w:val="none" w:sz="0" w:space="0" w:color="auto"/>
                                                                                                    <w:left w:val="none" w:sz="0" w:space="0" w:color="auto"/>
                                                                                                    <w:bottom w:val="none" w:sz="0" w:space="0" w:color="auto"/>
                                                                                                    <w:right w:val="none" w:sz="0" w:space="0" w:color="auto"/>
                                                                                                  </w:divBdr>
                                                                                                  <w:divsChild>
                                                                                                    <w:div w:id="1548179830">
                                                                                                      <w:marLeft w:val="0"/>
                                                                                                      <w:marRight w:val="0"/>
                                                                                                      <w:marTop w:val="0"/>
                                                                                                      <w:marBottom w:val="0"/>
                                                                                                      <w:divBdr>
                                                                                                        <w:top w:val="none" w:sz="0" w:space="0" w:color="auto"/>
                                                                                                        <w:left w:val="none" w:sz="0" w:space="0" w:color="auto"/>
                                                                                                        <w:bottom w:val="none" w:sz="0" w:space="0" w:color="auto"/>
                                                                                                        <w:right w:val="none" w:sz="0" w:space="0" w:color="auto"/>
                                                                                                      </w:divBdr>
                                                                                                      <w:divsChild>
                                                                                                        <w:div w:id="1037773449">
                                                                                                          <w:marLeft w:val="0"/>
                                                                                                          <w:marRight w:val="0"/>
                                                                                                          <w:marTop w:val="0"/>
                                                                                                          <w:marBottom w:val="0"/>
                                                                                                          <w:divBdr>
                                                                                                            <w:top w:val="none" w:sz="0" w:space="0" w:color="auto"/>
                                                                                                            <w:left w:val="none" w:sz="0" w:space="0" w:color="auto"/>
                                                                                                            <w:bottom w:val="none" w:sz="0" w:space="0" w:color="auto"/>
                                                                                                            <w:right w:val="none" w:sz="0" w:space="0" w:color="auto"/>
                                                                                                          </w:divBdr>
                                                                                                          <w:divsChild>
                                                                                                            <w:div w:id="18980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3/%e5%9c%8b%e6%b0%91%e5%b0%8f%e5%ad%b8%e5%8f%8a%e5%9c%8b%e6%b0%91%e4%b8%ad%e5%ad%b8%e5%ad%b8%e7%94%9f%e6%88%90%e7%b8%be%e8%a9%95%e9%87%8f%e6%ba%96%e5%89%87.htm" TargetMode="External"/><Relationship Id="rId13" Type="http://schemas.openxmlformats.org/officeDocument/2006/relationships/hyperlink" Target="http://www.6law.idv.tw/6law/law/&#22283;&#27665;&#25945;&#32946;&#27861;.htm" TargetMode="External"/><Relationship Id="rId18" Type="http://schemas.openxmlformats.org/officeDocument/2006/relationships/hyperlink" Target="http://www.6law.idv.tw/6law/law3/%e5%9c%8b%e6%b0%91%e5%b0%8f%e5%ad%b8%e5%8f%8a%e5%9c%8b%e6%b0%91%e4%b8%ad%e5%ad%b8%e5%ad%b8%e7%94%9f%e6%88%90%e7%b8%be%e8%a9%95%e9%87%8f%e6%ba%96%e5%89%87.htm" TargetMode="External"/><Relationship Id="rId3" Type="http://schemas.openxmlformats.org/officeDocument/2006/relationships/webSettings" Target="webSettings.xml"/><Relationship Id="rId21" Type="http://schemas.openxmlformats.org/officeDocument/2006/relationships/hyperlink" Target="http://www.6law.idv.tw/6law/law3/%e5%9c%8b%e6%b0%91%e5%b0%8f%e5%ad%b8%e5%8f%8a%e5%9c%8b%e6%b0%91%e4%b8%ad%e5%ad%b8%e5%ad%b8%e7%94%9f%e6%88%90%e7%b8%be%e8%a9%95%e9%87%8f%e6%ba%96%e5%89%87.htm" TargetMode="External"/><Relationship Id="rId7" Type="http://schemas.openxmlformats.org/officeDocument/2006/relationships/hyperlink" Target="http://www.6law.idv.tw/6law/law3/%e5%9c%8b%e6%b0%91%e5%b0%8f%e5%ad%b8%e5%8f%8a%e5%9c%8b%e6%b0%91%e4%b8%ad%e5%ad%b8%e5%ad%b8%e7%94%9f%e6%88%90%e7%b8%be%e8%a9%95%e9%87%8f%e6%ba%96%e5%89%87.htm" TargetMode="External"/><Relationship Id="rId12" Type="http://schemas.openxmlformats.org/officeDocument/2006/relationships/hyperlink" Target="http://www.6law.idv.tw/6law/law3/%e5%9c%8b%e6%b0%91%e5%b0%8f%e5%ad%b8%e5%8f%8a%e5%9c%8b%e6%b0%91%e4%b8%ad%e5%ad%b8%e5%ad%b8%e7%94%9f%e6%88%90%e7%b8%be%e8%a9%95%e9%87%8f%e6%ba%96%e5%89%87.htm" TargetMode="External"/><Relationship Id="rId17" Type="http://schemas.openxmlformats.org/officeDocument/2006/relationships/hyperlink" Target="http://www.6law.idv.tw/6law/law/&#20491;&#20154;&#36039;&#26009;&#20445;&#35703;&#27861;.htm" TargetMode="External"/><Relationship Id="rId2" Type="http://schemas.openxmlformats.org/officeDocument/2006/relationships/settings" Target="settings.xml"/><Relationship Id="rId16" Type="http://schemas.openxmlformats.org/officeDocument/2006/relationships/hyperlink" Target="http://www.6law.idv.tw/6law/law3/%e5%9c%8b%e6%b0%91%e5%b0%8f%e5%ad%b8%e5%8f%8a%e5%9c%8b%e6%b0%91%e4%b8%ad%e5%ad%b8%e5%ad%b8%e7%94%9f%e6%88%90%e7%b8%be%e8%a9%95%e9%87%8f%e6%ba%96%e5%89%87.htm" TargetMode="External"/><Relationship Id="rId20" Type="http://schemas.openxmlformats.org/officeDocument/2006/relationships/hyperlink" Target="http://www.6law.idv.tw/6law/law3/%e5%9c%8b%e6%b0%91%e5%b0%8f%e5%ad%b8%e5%8f%8a%e5%9c%8b%e6%b0%91%e4%b8%ad%e5%ad%b8%e5%ad%b8%e7%94%9f%e6%88%90%e7%b8%be%e8%a9%95%e9%87%8f%e6%ba%96%e5%89%87.htm" TargetMode="External"/><Relationship Id="rId1" Type="http://schemas.openxmlformats.org/officeDocument/2006/relationships/styles" Target="styles.xml"/><Relationship Id="rId6" Type="http://schemas.openxmlformats.org/officeDocument/2006/relationships/hyperlink" Target="http://www.6law.idv.tw/6law/law3/%e5%9c%8b%e6%b0%91%e5%b0%8f%e5%ad%b8%e5%8f%8a%e5%9c%8b%e6%b0%91%e4%b8%ad%e5%ad%b8%e5%ad%b8%e7%94%9f%e6%88%90%e7%b8%be%e8%a9%95%e9%87%8f%e6%ba%96%e5%89%87.htm" TargetMode="External"/><Relationship Id="rId11" Type="http://schemas.openxmlformats.org/officeDocument/2006/relationships/hyperlink" Target="http://www.6law.idv.tw/6law/law3/%e5%9c%8b%e6%b0%91%e5%b0%8f%e5%ad%b8%e5%8f%8a%e5%9c%8b%e6%b0%91%e4%b8%ad%e5%ad%b8%e5%ad%b8%e7%94%9f%e6%88%90%e7%b8%be%e8%a9%95%e9%87%8f%e6%ba%96%e5%89%87.htm" TargetMode="External"/><Relationship Id="rId24" Type="http://schemas.openxmlformats.org/officeDocument/2006/relationships/theme" Target="theme/theme1.xml"/><Relationship Id="rId5" Type="http://schemas.openxmlformats.org/officeDocument/2006/relationships/hyperlink" Target="http://www.6law.idv.tw/6law/law3/%e5%9c%8b%e6%b0%91%e5%b0%8f%e5%ad%b8%e5%8f%8a%e5%9c%8b%e6%b0%91%e4%b8%ad%e5%ad%b8%e5%ad%b8%e7%94%9f%e6%88%90%e7%b8%be%e8%a9%95%e9%87%8f%e6%ba%96%e5%89%87.htm" TargetMode="External"/><Relationship Id="rId15" Type="http://schemas.openxmlformats.org/officeDocument/2006/relationships/hyperlink" Target="http://www.6law.idv.tw/6law/law3/%e5%9c%8b%e6%b0%91%e5%b0%8f%e5%ad%b8%e5%8f%8a%e5%9c%8b%e6%b0%91%e4%b8%ad%e5%ad%b8%e5%ad%b8%e7%94%9f%e6%88%90%e7%b8%be%e8%a9%95%e9%87%8f%e6%ba%96%e5%89%87.htm" TargetMode="External"/><Relationship Id="rId23" Type="http://schemas.openxmlformats.org/officeDocument/2006/relationships/fontTable" Target="fontTable.xml"/><Relationship Id="rId10" Type="http://schemas.openxmlformats.org/officeDocument/2006/relationships/hyperlink" Target="http://www.6law.idv.tw/6law/law3/%e5%9c%8b%e6%b0%91%e5%b0%8f%e5%ad%b8%e5%8f%8a%e5%9c%8b%e6%b0%91%e4%b8%ad%e5%ad%b8%e5%ad%b8%e7%94%9f%e6%88%90%e7%b8%be%e8%a9%95%e9%87%8f%e6%ba%96%e5%89%87.htm" TargetMode="External"/><Relationship Id="rId19" Type="http://schemas.openxmlformats.org/officeDocument/2006/relationships/hyperlink" Target="http://www.6law.idv.tw/6law/law/&#22283;&#27665;&#25945;&#32946;&#27861;.htm" TargetMode="External"/><Relationship Id="rId4" Type="http://schemas.openxmlformats.org/officeDocument/2006/relationships/hyperlink" Target="http://www.6law.idv.tw/6law/law3/%e5%9c%8b%e6%b0%91%e5%b0%8f%e5%ad%b8%e5%8f%8a%e5%9c%8b%e6%b0%91%e4%b8%ad%e5%ad%b8%e5%ad%b8%e7%94%9f%e6%88%90%e7%b8%be%e8%a9%95%e9%87%8f%e6%ba%96%e5%89%87.htm" TargetMode="External"/><Relationship Id="rId9" Type="http://schemas.openxmlformats.org/officeDocument/2006/relationships/hyperlink" Target="http://www.6law.idv.tw/6law/law3/%e5%9c%8b%e6%b0%91%e5%b0%8f%e5%ad%b8%e5%8f%8a%e5%9c%8b%e6%b0%91%e4%b8%ad%e5%ad%b8%e5%ad%b8%e7%94%9f%e6%88%90%e7%b8%be%e8%a9%95%e9%87%8f%e6%ba%96%e5%89%87.htm" TargetMode="External"/><Relationship Id="rId14" Type="http://schemas.openxmlformats.org/officeDocument/2006/relationships/hyperlink" Target="http://www.6law.idv.tw/6law/law3/%e5%9c%8b%e6%b0%91%e5%b0%8f%e5%ad%b8%e5%8f%8a%e5%9c%8b%e6%b0%91%e4%b8%ad%e5%ad%b8%e5%ad%b8%e7%94%9f%e6%88%90%e7%b8%be%e8%a9%95%e9%87%8f%e6%ba%96%e5%89%87.htm" TargetMode="External"/><Relationship Id="rId22" Type="http://schemas.openxmlformats.org/officeDocument/2006/relationships/hyperlink" Target="http://www.6law.idv.tw/6law/law3/%e5%9c%8b%e6%b0%91%e5%b0%8f%e5%ad%b8%e5%8f%8a%e5%9c%8b%e6%b0%91%e4%b8%ad%e5%ad%b8%e5%ad%b8%e7%94%9f%e6%88%90%e7%b8%be%e8%a9%95%e9%87%8f%e6%ba%96%e5%89%87.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1326</Words>
  <Characters>7559</Characters>
  <Application>Microsoft Office Word</Application>
  <DocSecurity>0</DocSecurity>
  <Lines>62</Lines>
  <Paragraphs>17</Paragraphs>
  <ScaleCrop>false</ScaleCrop>
  <Company>SYNNEX</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2013-09-09T00:53:00Z</dcterms:created>
  <dcterms:modified xsi:type="dcterms:W3CDTF">2013-09-09T00:54:00Z</dcterms:modified>
</cp:coreProperties>
</file>