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E13123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806EAC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B3EAA0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657388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Pr="005425C2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5C2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CFAB9FC" wp14:editId="29BDC473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425C2" w:rsidRPr="005425C2">
        <w:rPr>
          <w:rFonts w:ascii="標楷體" w:eastAsia="標楷體" w:hAnsi="標楷體" w:hint="eastAsia"/>
          <w:b/>
          <w:noProof/>
          <w:sz w:val="28"/>
          <w:szCs w:val="28"/>
        </w:rPr>
        <w:t>112年度隆田國民小學太陽光電停車棚及靜思樓屋頂標租案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E5" w:rsidRDefault="002507E5" w:rsidP="00573D2D">
      <w:r>
        <w:separator/>
      </w:r>
    </w:p>
  </w:endnote>
  <w:endnote w:type="continuationSeparator" w:id="0">
    <w:p w:rsidR="002507E5" w:rsidRDefault="002507E5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E5" w:rsidRDefault="002507E5" w:rsidP="00573D2D">
      <w:r>
        <w:separator/>
      </w:r>
    </w:p>
  </w:footnote>
  <w:footnote w:type="continuationSeparator" w:id="0">
    <w:p w:rsidR="002507E5" w:rsidRDefault="002507E5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07E5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425C2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44FFA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96B52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12BE-566E-4219-A10F-8680FCB7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PCC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User</cp:lastModifiedBy>
  <cp:revision>6</cp:revision>
  <cp:lastPrinted>2014-03-31T08:19:00Z</cp:lastPrinted>
  <dcterms:created xsi:type="dcterms:W3CDTF">2019-04-22T03:21:00Z</dcterms:created>
  <dcterms:modified xsi:type="dcterms:W3CDTF">2023-02-21T08:25:00Z</dcterms:modified>
</cp:coreProperties>
</file>