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F97446">
        <w:rPr>
          <w:rFonts w:ascii="標楷體" w:eastAsia="標楷體" w:hAnsi="標楷體"/>
          <w:b/>
          <w:sz w:val="32"/>
          <w:szCs w:val="24"/>
        </w:rPr>
        <w:t>「2016年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臺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南市國際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身障日系列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bookmarkEnd w:id="0"/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</w:t>
      </w:r>
      <w:proofErr w:type="gramStart"/>
      <w:r w:rsidRPr="00205337">
        <w:rPr>
          <w:rFonts w:ascii="標楷體" w:eastAsia="標楷體" w:hAnsi="標楷體" w:hint="eastAsia"/>
          <w:sz w:val="28"/>
          <w:szCs w:val="24"/>
        </w:rPr>
        <w:t>身障日提升</w:t>
      </w:r>
      <w:proofErr w:type="gramEnd"/>
      <w:r w:rsidRPr="00205337">
        <w:rPr>
          <w:rFonts w:ascii="標楷體" w:eastAsia="標楷體" w:hAnsi="標楷體" w:hint="eastAsia"/>
          <w:sz w:val="28"/>
          <w:szCs w:val="24"/>
        </w:rPr>
        <w:t>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</w:t>
      </w:r>
      <w:proofErr w:type="gramStart"/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</w:t>
      </w:r>
      <w:proofErr w:type="gramStart"/>
      <w:r w:rsidR="00D35F0D" w:rsidRPr="00205337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proofErr w:type="gramStart"/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proofErr w:type="gramEnd"/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6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</w:t>
      </w:r>
      <w:proofErr w:type="gramStart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身障日幸福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</w:t>
      </w:r>
      <w:proofErr w:type="gramStart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身障日系列</w:t>
      </w:r>
      <w:proofErr w:type="gramEnd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需求，請在此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8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61A3E"/>
    <w:rsid w:val="005C408C"/>
    <w:rsid w:val="00620134"/>
    <w:rsid w:val="00786606"/>
    <w:rsid w:val="00992713"/>
    <w:rsid w:val="00C13664"/>
    <w:rsid w:val="00D35F0D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325@mail.eden.org.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YogSmdZUIgUHhXF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>SYNNEX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user</cp:lastModifiedBy>
  <cp:revision>2</cp:revision>
  <dcterms:created xsi:type="dcterms:W3CDTF">2016-10-31T00:54:00Z</dcterms:created>
  <dcterms:modified xsi:type="dcterms:W3CDTF">2016-10-31T00:54:00Z</dcterms:modified>
</cp:coreProperties>
</file>