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2A" w:rsidRPr="00F62D9C" w:rsidRDefault="008927CF" w:rsidP="001D252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62D9C">
        <w:rPr>
          <w:rFonts w:ascii="標楷體" w:eastAsia="標楷體" w:hAnsi="標楷體" w:hint="eastAsia"/>
          <w:b/>
          <w:sz w:val="28"/>
          <w:szCs w:val="28"/>
        </w:rPr>
        <w:t>公教人員退撫制度改革網路流傳資訊澄清說明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277"/>
      </w:tblGrid>
      <w:tr w:rsidR="008927CF" w:rsidRPr="008927CF" w:rsidTr="008927CF">
        <w:tc>
          <w:tcPr>
            <w:tcW w:w="3085" w:type="dxa"/>
          </w:tcPr>
          <w:p w:rsidR="008927CF" w:rsidRPr="008927CF" w:rsidRDefault="008927CF" w:rsidP="008927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7" w:type="dxa"/>
          </w:tcPr>
          <w:p w:rsidR="008927CF" w:rsidRPr="008927CF" w:rsidRDefault="008927CF" w:rsidP="008927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正確資訊</w:t>
            </w:r>
          </w:p>
        </w:tc>
      </w:tr>
      <w:tr w:rsidR="008927CF" w:rsidRPr="008927CF" w:rsidTr="008927CF">
        <w:tc>
          <w:tcPr>
            <w:tcW w:w="3085" w:type="dxa"/>
          </w:tcPr>
          <w:p w:rsidR="008927CF" w:rsidRDefault="008927CF" w:rsidP="008927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【澄清1】</w:t>
            </w:r>
          </w:p>
          <w:p w:rsidR="008927CF" w:rsidRPr="008927CF" w:rsidRDefault="008927CF" w:rsidP="008927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有關網路流傳「公教人員月退休金與薪資調整脫勾，永遠</w:t>
            </w:r>
            <w:proofErr w:type="gramStart"/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調高」錯誤資訊之澄清</w:t>
            </w:r>
          </w:p>
        </w:tc>
        <w:tc>
          <w:tcPr>
            <w:tcW w:w="5277" w:type="dxa"/>
          </w:tcPr>
          <w:p w:rsidR="008927CF" w:rsidRPr="008927CF" w:rsidRDefault="008927CF" w:rsidP="008927C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依照立法院三讀通過的「公務人員退休資遣撫</w:t>
            </w:r>
            <w:proofErr w:type="gramStart"/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卹</w:t>
            </w:r>
            <w:proofErr w:type="gramEnd"/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法」第67條規定，公務人員月退休金的調整，是由考試院會同行政院視國家整體財政狀況、人口與經濟成長率、</w:t>
            </w:r>
            <w:proofErr w:type="gramStart"/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平均餘命</w:t>
            </w:r>
            <w:proofErr w:type="gramEnd"/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、退撫基金準備率與其財務投資績效及消費者物價指數等因素</w:t>
            </w:r>
            <w:proofErr w:type="gramStart"/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綜合衡</w:t>
            </w:r>
            <w:proofErr w:type="gramEnd"/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酌後，訂定調整幅度(公立學校教職員退休資遣撫</w:t>
            </w:r>
            <w:proofErr w:type="gramStart"/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卹</w:t>
            </w:r>
            <w:proofErr w:type="gramEnd"/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條例第67條)。</w:t>
            </w:r>
          </w:p>
          <w:p w:rsidR="008927CF" w:rsidRPr="008927CF" w:rsidRDefault="008927CF" w:rsidP="008927C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據此，當公教人員調整薪俸時，退休公教人員的退休金也會依上述規定，檢討是否必須調整及調整幅度。所以，網路流傳未來公教人員月退休金永遠不會調高，是錯誤的資訊。</w:t>
            </w:r>
          </w:p>
        </w:tc>
      </w:tr>
      <w:tr w:rsidR="00073421" w:rsidRPr="008927CF" w:rsidTr="008927CF">
        <w:tc>
          <w:tcPr>
            <w:tcW w:w="3085" w:type="dxa"/>
          </w:tcPr>
          <w:p w:rsidR="00073421" w:rsidRDefault="00073421" w:rsidP="002C54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【澄清2</w:t>
            </w:r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073421" w:rsidRPr="008927CF" w:rsidRDefault="00073421" w:rsidP="002C54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讀者投書提及「此次公教人員年金法案，明訂『</w:t>
            </w:r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中華民國一百一十二年七月一日</w:t>
            </w:r>
            <w:proofErr w:type="gramStart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以後初</w:t>
            </w:r>
            <w:proofErr w:type="gramEnd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任公務人員（公立學校教職員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）者，其退撫制度由主管機關重行建立，並另以法律定之』</w:t>
            </w:r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。初任人員建立全新制度，就是自新進人員另立新基金，將使舊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有基金提早破產，導致長者困頓、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壯者徬徨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，毀滅整個臺灣」之澄清</w:t>
            </w:r>
          </w:p>
        </w:tc>
        <w:tc>
          <w:tcPr>
            <w:tcW w:w="5277" w:type="dxa"/>
          </w:tcPr>
          <w:p w:rsidR="00073421" w:rsidRPr="00065D8B" w:rsidRDefault="00073421" w:rsidP="00073421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對此，</w:t>
            </w:r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國家年金改革委員會特別表示：在112年全新制度尚未定案的情形下，上述報導中針對新制度提出的種種評論與舊有基金財務安全等問題，都屬於個人臆測且恐言過其實。澄清說明如下：</w:t>
            </w:r>
          </w:p>
          <w:p w:rsidR="00073421" w:rsidRDefault="00073421" w:rsidP="002C5447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本次推動各類人員年金制度改革是</w:t>
            </w:r>
            <w:proofErr w:type="gramStart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分階段進行，故短期內仍</w:t>
            </w:r>
            <w:proofErr w:type="gramStart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制度分立，各自檢討，以及時解決現行制度面臨的急迫性問題；長遠而言，再規劃建立新制度。基此目標，本次經立法院三讀通過的公教人員年金改革法案</w:t>
            </w:r>
            <w:proofErr w:type="gramStart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中均明定</w:t>
            </w:r>
            <w:proofErr w:type="gramEnd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，112年7月1日</w:t>
            </w:r>
            <w:proofErr w:type="gramStart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以後初</w:t>
            </w:r>
            <w:proofErr w:type="gramEnd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任人員的退撫制度，由主管機關重行建立並另以法律定之。</w:t>
            </w:r>
          </w:p>
          <w:p w:rsidR="00073421" w:rsidRDefault="00073421" w:rsidP="002C5447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後續將由公教人員年金業務主管機關著手規劃建立新進人員新制度，一定</w:t>
            </w:r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會詳慎</w:t>
            </w:r>
            <w:proofErr w:type="gramStart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議及多方討論，並參考其他國家改革經驗，以提出長遠穩健可行之新制度；同時也要兼顧舊有基金之延續及安全。因此，關於112年新制度之建立，究竟要</w:t>
            </w:r>
            <w:proofErr w:type="gramStart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行何種制度，目前都尚未定案，若在此時就認定未來新進人員一定會另立新基金，以及現職人員是否結清，加入新基金等，都是對未來新制度之建立過早下定論。</w:t>
            </w:r>
          </w:p>
          <w:p w:rsidR="00073421" w:rsidRPr="00065D8B" w:rsidRDefault="00073421" w:rsidP="002C5447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為穩固現行公教退撫基金財務安全並減輕在職人員繳費壓力，本次三讀通過的公教人員年金改革法案中亦明定，已退休及現職公教人員於優惠存款利率及所得替代率調降後，各級政府可</w:t>
            </w:r>
            <w:proofErr w:type="gramStart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撙</w:t>
            </w:r>
            <w:proofErr w:type="gramEnd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節的預算支出，全數都要</w:t>
            </w:r>
            <w:proofErr w:type="gramStart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挹</w:t>
            </w:r>
            <w:proofErr w:type="gramEnd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注退撫基金，以適度延後退撫基金用罄年度。上述節省經費</w:t>
            </w:r>
            <w:proofErr w:type="gramStart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挹</w:t>
            </w:r>
            <w:proofErr w:type="gramEnd"/>
            <w:r w:rsidRPr="00065D8B">
              <w:rPr>
                <w:rFonts w:ascii="標楷體" w:eastAsia="標楷體" w:hAnsi="標楷體" w:hint="eastAsia"/>
                <w:sz w:val="28"/>
                <w:szCs w:val="28"/>
              </w:rPr>
              <w:t>注，並不會受112年建立全新制度而有所減損，如此對現有舊基金仍可維持一定的財務穩健，同時在規劃全新制度時，配合擬訂完善財務執行方案，避免舊基金發生斷源情事致危及公教人員退撫權益。</w:t>
            </w:r>
          </w:p>
        </w:tc>
      </w:tr>
      <w:tr w:rsidR="00073421" w:rsidRPr="008927CF" w:rsidTr="008927CF">
        <w:tc>
          <w:tcPr>
            <w:tcW w:w="3085" w:type="dxa"/>
          </w:tcPr>
          <w:p w:rsidR="00073421" w:rsidRDefault="00073421" w:rsidP="002C54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【澄清3</w:t>
            </w:r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073421" w:rsidRPr="008927CF" w:rsidRDefault="00073421" w:rsidP="002C54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t>有關網路「退休軍公教22萬人，退休金如何省6700億元」錯誤資訊的澄清</w:t>
            </w:r>
          </w:p>
        </w:tc>
        <w:tc>
          <w:tcPr>
            <w:tcW w:w="5277" w:type="dxa"/>
          </w:tcPr>
          <w:p w:rsidR="00073421" w:rsidRDefault="00073421" w:rsidP="002C5447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t>依據</w:t>
            </w:r>
            <w:proofErr w:type="gramStart"/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t>銓敘部與教育部</w:t>
            </w:r>
            <w:proofErr w:type="gramEnd"/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t>委託精算結果，本次推動年金改革後，各級政府預算約可節省1.4兆元(公務人員7千3百億元、教育人員6千7百億元</w:t>
            </w:r>
            <w:proofErr w:type="gramStart"/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t>，是指18%優惠存款調降或歸零，以及所得替代率調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降的結果。這些金額都是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按折現率折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現過的，而且不包括軍職人員。</w:t>
            </w:r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t>軍公教人員退休金1年可省6700億元的說法是錯誤的，政府從來就沒這樣說。</w:t>
            </w:r>
          </w:p>
          <w:p w:rsidR="00073421" w:rsidRPr="00BE284D" w:rsidRDefault="00073421" w:rsidP="002C5447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t>本次改革方案適用對象除了已退人</w:t>
            </w:r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員，還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包括現職及未來新進人員，都一併納入前述委託精算財務分析，不是網路資訊</w:t>
            </w:r>
            <w:proofErr w:type="gramStart"/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t>所說的退休</w:t>
            </w:r>
            <w:proofErr w:type="gramEnd"/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t>軍公教人員22萬人，也不是以此來計算</w:t>
            </w:r>
            <w:proofErr w:type="gramStart"/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E284D">
              <w:rPr>
                <w:rFonts w:ascii="標楷體" w:eastAsia="標楷體" w:hAnsi="標楷體" w:hint="eastAsia"/>
                <w:sz w:val="28"/>
                <w:szCs w:val="28"/>
              </w:rPr>
              <w:t>年內每人每月因年改方案所扣減的金額。</w:t>
            </w:r>
          </w:p>
        </w:tc>
      </w:tr>
      <w:tr w:rsidR="00073421" w:rsidRPr="008927CF" w:rsidTr="008927CF">
        <w:tc>
          <w:tcPr>
            <w:tcW w:w="3085" w:type="dxa"/>
          </w:tcPr>
          <w:p w:rsidR="00073421" w:rsidRPr="008927CF" w:rsidRDefault="00073421" w:rsidP="000734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【澄清4</w:t>
            </w:r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】讀者投書「只差一天離職，竟損失65萬!年金改革後，千萬別忽略這項魔鬼條款」之澄清</w:t>
            </w:r>
          </w:p>
        </w:tc>
        <w:tc>
          <w:tcPr>
            <w:tcW w:w="5277" w:type="dxa"/>
          </w:tcPr>
          <w:p w:rsidR="00073421" w:rsidRDefault="00073421" w:rsidP="00A94E2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此說法是該讀者對年金改革方案的片面解讀，完全忽略年金改革方案整體性規劃。</w:t>
            </w:r>
          </w:p>
          <w:p w:rsidR="00073421" w:rsidRDefault="00073421" w:rsidP="00A94E2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事實上，本次三讀通過的公教人員年改法案中，對於法案施行以後離職的公教人員，訂有「年資保留與年資</w:t>
            </w:r>
            <w:proofErr w:type="gramStart"/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計、年金分計」的規定，以使離職公教人員原有公職年資退休給與，得到充分保障，也因此同步取消以往離職公教人員可領走政府分攤</w:t>
            </w:r>
            <w:proofErr w:type="gramStart"/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提撥</w:t>
            </w:r>
            <w:proofErr w:type="gramEnd"/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退撫基金本息的規定，如此規劃絶不是文章所提到的是「懲罰員工辭職的是『防脫逃條款』」，更不是政府在迴避雇主應負的退休金提撥責任。</w:t>
            </w:r>
          </w:p>
          <w:p w:rsidR="00073421" w:rsidRPr="00A94E21" w:rsidRDefault="00073421" w:rsidP="00A94E2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在本次修法新法施行後離職者，如果不選擇申請發還自己繳付的退撫基金費用本息，還可以選擇適用「年資保留與年資</w:t>
            </w:r>
            <w:proofErr w:type="gramStart"/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計、年金分計」規定：</w:t>
            </w:r>
          </w:p>
          <w:p w:rsidR="00073421" w:rsidRDefault="00073421" w:rsidP="00A94E21">
            <w:pPr>
              <w:pStyle w:val="a4"/>
              <w:numPr>
                <w:ilvl w:val="1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保留年資：任職滿5年以上離職的公教人員，可以選擇保留年資，等到65歲6個月內申請領退休金，任職年資如果滿15年以上，還可以支領月退休金。</w:t>
            </w:r>
          </w:p>
          <w:p w:rsidR="00073421" w:rsidRPr="00A94E21" w:rsidRDefault="00073421" w:rsidP="00A94E21">
            <w:pPr>
              <w:pStyle w:val="a4"/>
              <w:numPr>
                <w:ilvl w:val="1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  <w:proofErr w:type="gramStart"/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計、年金分計：若有</w:t>
            </w:r>
            <w:proofErr w:type="gramStart"/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轉任私部門</w:t>
            </w:r>
            <w:proofErr w:type="gramEnd"/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者，在原公職年資不足15年情形下，可以</w:t>
            </w:r>
            <w:proofErr w:type="gramStart"/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併計私</w:t>
            </w:r>
            <w:proofErr w:type="gramEnd"/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部門年資成就公職月退休金請領條件，至65歲6個月內申請月退休金。</w:t>
            </w:r>
          </w:p>
          <w:p w:rsidR="00073421" w:rsidRPr="00A94E21" w:rsidRDefault="00073421" w:rsidP="00A94E2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綜合來說，在新法施行後，相較於新法施行前離職者，對於離職公教人員原有公職年資退休給與更具保障。換句話說，在新法施行前、後離職，在退休金權益上確實有不同，但絶非如該讀者文章所指「在新法施行後離職，就會損失</w:t>
            </w:r>
            <w:r w:rsidRPr="00A94E21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A94E21">
              <w:rPr>
                <w:rFonts w:ascii="標楷體" w:eastAsia="標楷體" w:hAnsi="標楷體" w:hint="eastAsia"/>
                <w:sz w:val="28"/>
                <w:szCs w:val="28"/>
              </w:rPr>
              <w:t>萬」。</w:t>
            </w:r>
          </w:p>
        </w:tc>
      </w:tr>
    </w:tbl>
    <w:p w:rsidR="008927CF" w:rsidRDefault="008927CF"/>
    <w:sectPr w:rsidR="008927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83" w:rsidRDefault="00223F83" w:rsidP="00223F83">
      <w:r>
        <w:separator/>
      </w:r>
    </w:p>
  </w:endnote>
  <w:endnote w:type="continuationSeparator" w:id="0">
    <w:p w:rsidR="00223F83" w:rsidRDefault="00223F83" w:rsidP="002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83" w:rsidRDefault="00223F83" w:rsidP="00223F83">
      <w:r>
        <w:separator/>
      </w:r>
    </w:p>
  </w:footnote>
  <w:footnote w:type="continuationSeparator" w:id="0">
    <w:p w:rsidR="00223F83" w:rsidRDefault="00223F83" w:rsidP="0022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6ED"/>
    <w:multiLevelType w:val="hybridMultilevel"/>
    <w:tmpl w:val="14B25BA8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D78E9"/>
    <w:multiLevelType w:val="hybridMultilevel"/>
    <w:tmpl w:val="C404448C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5D277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5711D2"/>
    <w:multiLevelType w:val="hybridMultilevel"/>
    <w:tmpl w:val="042C8470"/>
    <w:lvl w:ilvl="0" w:tplc="F10E5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FB480D"/>
    <w:multiLevelType w:val="hybridMultilevel"/>
    <w:tmpl w:val="659A2E60"/>
    <w:lvl w:ilvl="0" w:tplc="CDCA6D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46FCA"/>
    <w:multiLevelType w:val="hybridMultilevel"/>
    <w:tmpl w:val="A360090E"/>
    <w:lvl w:ilvl="0" w:tplc="8A9CF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F05E58"/>
    <w:multiLevelType w:val="hybridMultilevel"/>
    <w:tmpl w:val="500E7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EF3F68"/>
    <w:multiLevelType w:val="hybridMultilevel"/>
    <w:tmpl w:val="F300D1C0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452DEB"/>
    <w:multiLevelType w:val="hybridMultilevel"/>
    <w:tmpl w:val="9F7E21E6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A4456B"/>
    <w:multiLevelType w:val="hybridMultilevel"/>
    <w:tmpl w:val="F300D1C0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CF"/>
    <w:rsid w:val="00065D8B"/>
    <w:rsid w:val="00073421"/>
    <w:rsid w:val="000F5AE9"/>
    <w:rsid w:val="001D2525"/>
    <w:rsid w:val="0020112A"/>
    <w:rsid w:val="00223F83"/>
    <w:rsid w:val="00371636"/>
    <w:rsid w:val="008927CF"/>
    <w:rsid w:val="00A94E21"/>
    <w:rsid w:val="00BE284D"/>
    <w:rsid w:val="00F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7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F5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5A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3F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3F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7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F5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5A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3F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3F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給與福利處第三科林莉旻</cp:lastModifiedBy>
  <cp:revision>2</cp:revision>
  <cp:lastPrinted>2017-08-03T09:40:00Z</cp:lastPrinted>
  <dcterms:created xsi:type="dcterms:W3CDTF">2017-08-03T09:56:00Z</dcterms:created>
  <dcterms:modified xsi:type="dcterms:W3CDTF">2017-08-03T09:56:00Z</dcterms:modified>
</cp:coreProperties>
</file>