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00" w:rsidRDefault="00B22B1B" w:rsidP="00405725">
      <w:pPr>
        <w:ind w:right="640"/>
        <w:rPr>
          <w:rFonts w:ascii="標楷體" w:eastAsia="標楷體" w:hAnsi="標楷體"/>
          <w:b/>
          <w:sz w:val="32"/>
          <w:szCs w:val="32"/>
        </w:rPr>
      </w:pPr>
      <w:r>
        <w:rPr>
          <w:rFonts w:ascii="標楷體" w:eastAsia="標楷體" w:hAnsi="標楷體"/>
          <w:b/>
          <w:sz w:val="32"/>
          <w:szCs w:val="32"/>
        </w:rPr>
        <w:t>附件</w:t>
      </w:r>
      <w:r>
        <w:rPr>
          <w:rFonts w:ascii="標楷體" w:eastAsia="標楷體" w:hAnsi="標楷體"/>
          <w:b/>
          <w:sz w:val="32"/>
          <w:szCs w:val="32"/>
        </w:rPr>
        <w:t>1</w:t>
      </w:r>
    </w:p>
    <w:p w:rsidR="00384400" w:rsidRDefault="00B22B1B">
      <w:pPr>
        <w:spacing w:line="500" w:lineRule="exact"/>
        <w:jc w:val="center"/>
      </w:pPr>
      <w:r>
        <w:rPr>
          <w:rFonts w:ascii="標楷體" w:eastAsia="標楷體" w:hAnsi="標楷體"/>
          <w:sz w:val="36"/>
        </w:rPr>
        <w:t>與家庭教育相關之</w:t>
      </w:r>
      <w:r>
        <w:rPr>
          <w:rFonts w:ascii="標楷體" w:eastAsia="標楷體" w:hAnsi="標楷體"/>
          <w:sz w:val="36"/>
        </w:rPr>
        <w:t>CEDAW</w:t>
      </w:r>
      <w:r>
        <w:rPr>
          <w:rFonts w:ascii="標楷體" w:eastAsia="標楷體" w:hAnsi="標楷體"/>
          <w:sz w:val="36"/>
        </w:rPr>
        <w:t>條文</w:t>
      </w:r>
    </w:p>
    <w:p w:rsidR="00384400" w:rsidRDefault="00B22B1B">
      <w:pPr>
        <w:spacing w:line="480" w:lineRule="exact"/>
        <w:rPr>
          <w:rFonts w:ascii="標楷體" w:eastAsia="標楷體" w:hAnsi="標楷體"/>
          <w:b/>
          <w:sz w:val="28"/>
        </w:rPr>
      </w:pPr>
      <w:r>
        <w:rPr>
          <w:rFonts w:ascii="標楷體" w:eastAsia="標楷體" w:hAnsi="標楷體"/>
          <w:b/>
          <w:sz w:val="28"/>
        </w:rPr>
        <w:t>第一條</w:t>
      </w:r>
    </w:p>
    <w:p w:rsidR="00384400" w:rsidRDefault="00B22B1B">
      <w:pPr>
        <w:spacing w:line="480" w:lineRule="exact"/>
      </w:pPr>
      <w:r>
        <w:rPr>
          <w:rFonts w:ascii="標楷體" w:eastAsia="標楷體" w:hAnsi="標楷體"/>
          <w:sz w:val="28"/>
        </w:rPr>
        <w:t>在本公約中，</w:t>
      </w:r>
      <w:r>
        <w:rPr>
          <w:rFonts w:ascii="標楷體" w:eastAsia="標楷體" w:hAnsi="標楷體"/>
          <w:b/>
          <w:sz w:val="28"/>
        </w:rPr>
        <w:t>"</w:t>
      </w:r>
      <w:r>
        <w:rPr>
          <w:rFonts w:ascii="標楷體" w:eastAsia="標楷體" w:hAnsi="標楷體"/>
          <w:b/>
          <w:sz w:val="28"/>
        </w:rPr>
        <w:t>對婦女的歧視</w:t>
      </w:r>
      <w:r>
        <w:rPr>
          <w:rFonts w:ascii="標楷體" w:eastAsia="標楷體" w:hAnsi="標楷體"/>
          <w:b/>
          <w:sz w:val="28"/>
        </w:rPr>
        <w:t>"</w:t>
      </w:r>
      <w:r>
        <w:rPr>
          <w:rFonts w:ascii="標楷體" w:eastAsia="標楷體" w:hAnsi="標楷體"/>
          <w:b/>
          <w:sz w:val="28"/>
        </w:rPr>
        <w:t>一詞指基於性別而作的任何區別、排斥或限制</w:t>
      </w:r>
      <w:r>
        <w:rPr>
          <w:rFonts w:ascii="標楷體" w:eastAsia="標楷體" w:hAnsi="標楷體"/>
          <w:sz w:val="28"/>
        </w:rPr>
        <w:t>，其影響或其目的均足以妨礙或否認婦女不論已婚未婚在男女平等的基礎上認識、享有或行</w:t>
      </w:r>
      <w:r>
        <w:rPr>
          <w:rFonts w:ascii="標楷體" w:eastAsia="標楷體" w:hAnsi="標楷體"/>
          <w:sz w:val="28"/>
        </w:rPr>
        <w:t>使在政治、經濟、社會、文化、公民或任何其他方面的人權和基本自由。</w:t>
      </w:r>
    </w:p>
    <w:p w:rsidR="00384400" w:rsidRDefault="00384400">
      <w:pPr>
        <w:spacing w:line="480" w:lineRule="exact"/>
        <w:rPr>
          <w:rFonts w:ascii="標楷體" w:eastAsia="標楷體" w:hAnsi="標楷體"/>
          <w:sz w:val="28"/>
        </w:rPr>
      </w:pPr>
    </w:p>
    <w:p w:rsidR="00384400" w:rsidRDefault="00B22B1B">
      <w:pPr>
        <w:spacing w:line="480" w:lineRule="exact"/>
        <w:rPr>
          <w:rFonts w:ascii="標楷體" w:eastAsia="標楷體" w:hAnsi="標楷體"/>
          <w:b/>
          <w:sz w:val="28"/>
        </w:rPr>
      </w:pPr>
      <w:r>
        <w:rPr>
          <w:rFonts w:ascii="標楷體" w:eastAsia="標楷體" w:hAnsi="標楷體"/>
          <w:b/>
          <w:sz w:val="28"/>
        </w:rPr>
        <w:t>第五條</w:t>
      </w:r>
    </w:p>
    <w:p w:rsidR="00384400" w:rsidRDefault="00B22B1B">
      <w:pPr>
        <w:spacing w:line="480" w:lineRule="exact"/>
        <w:rPr>
          <w:rFonts w:ascii="標楷體" w:eastAsia="標楷體" w:hAnsi="標楷體"/>
          <w:sz w:val="28"/>
        </w:rPr>
      </w:pPr>
      <w:r>
        <w:rPr>
          <w:rFonts w:ascii="標楷體" w:eastAsia="標楷體" w:hAnsi="標楷體"/>
          <w:sz w:val="28"/>
        </w:rPr>
        <w:t>締約各國應採取一切適當措施：</w:t>
      </w:r>
    </w:p>
    <w:p w:rsidR="00384400" w:rsidRDefault="00B22B1B">
      <w:pPr>
        <w:spacing w:line="480" w:lineRule="exact"/>
        <w:ind w:left="660" w:hanging="420"/>
      </w:pPr>
      <w:r>
        <w:rPr>
          <w:rFonts w:ascii="標楷體" w:eastAsia="標楷體" w:hAnsi="標楷體"/>
          <w:sz w:val="28"/>
        </w:rPr>
        <w:t>(a)</w:t>
      </w:r>
      <w:r>
        <w:rPr>
          <w:rFonts w:ascii="標楷體" w:eastAsia="標楷體" w:hAnsi="標楷體"/>
          <w:sz w:val="28"/>
        </w:rPr>
        <w:t>改變男女的社會和文化行為模式，</w:t>
      </w:r>
      <w:r>
        <w:rPr>
          <w:rFonts w:ascii="標楷體" w:eastAsia="標楷體" w:hAnsi="標楷體"/>
          <w:b/>
          <w:sz w:val="28"/>
        </w:rPr>
        <w:t>以消除基於性別而分尊卑觀念或基於男女任務定型所產生的偏見、習俗和一切其他做法</w:t>
      </w:r>
      <w:r>
        <w:rPr>
          <w:rFonts w:ascii="標楷體" w:eastAsia="標楷體" w:hAnsi="標楷體"/>
          <w:sz w:val="28"/>
        </w:rPr>
        <w:t>；</w:t>
      </w:r>
    </w:p>
    <w:p w:rsidR="00384400" w:rsidRDefault="00B22B1B">
      <w:pPr>
        <w:spacing w:line="480" w:lineRule="exact"/>
        <w:ind w:left="660" w:hanging="420"/>
      </w:pPr>
      <w:r>
        <w:rPr>
          <w:rFonts w:ascii="標楷體" w:eastAsia="標楷體" w:hAnsi="標楷體"/>
          <w:sz w:val="28"/>
        </w:rPr>
        <w:t>(b)</w:t>
      </w:r>
      <w:r>
        <w:rPr>
          <w:rFonts w:ascii="標楷體" w:eastAsia="標楷體" w:hAnsi="標楷體"/>
          <w:b/>
          <w:sz w:val="28"/>
        </w:rPr>
        <w:t>保證家庭教育應包括正確了解母性的社會功能和確認教養子女是父母的共同責任</w:t>
      </w:r>
      <w:r>
        <w:rPr>
          <w:rFonts w:ascii="標楷體" w:eastAsia="標楷體" w:hAnsi="標楷體"/>
          <w:sz w:val="28"/>
        </w:rPr>
        <w:t>，當然在任何情況下都應首先考慮子女的利益。</w:t>
      </w:r>
    </w:p>
    <w:p w:rsidR="00384400" w:rsidRDefault="00384400">
      <w:pPr>
        <w:spacing w:line="480" w:lineRule="exact"/>
        <w:rPr>
          <w:rFonts w:ascii="標楷體" w:eastAsia="標楷體" w:hAnsi="標楷體"/>
          <w:sz w:val="28"/>
        </w:rPr>
      </w:pPr>
    </w:p>
    <w:p w:rsidR="00384400" w:rsidRDefault="00B22B1B">
      <w:pPr>
        <w:spacing w:line="480" w:lineRule="exact"/>
        <w:rPr>
          <w:rFonts w:ascii="標楷體" w:eastAsia="標楷體" w:hAnsi="標楷體"/>
          <w:b/>
          <w:sz w:val="28"/>
        </w:rPr>
      </w:pPr>
      <w:r>
        <w:rPr>
          <w:rFonts w:ascii="標楷體" w:eastAsia="標楷體" w:hAnsi="標楷體"/>
          <w:b/>
          <w:sz w:val="28"/>
        </w:rPr>
        <w:t>第十條</w:t>
      </w:r>
    </w:p>
    <w:p w:rsidR="00384400" w:rsidRDefault="00B22B1B">
      <w:pPr>
        <w:spacing w:line="480" w:lineRule="exact"/>
      </w:pPr>
      <w:r>
        <w:rPr>
          <w:rFonts w:ascii="標楷體" w:eastAsia="標楷體" w:hAnsi="標楷體"/>
          <w:sz w:val="28"/>
        </w:rPr>
        <w:t>締約各國應採取一切適當措施以消除對婦女的歧視，</w:t>
      </w:r>
      <w:r>
        <w:rPr>
          <w:rFonts w:ascii="標楷體" w:eastAsia="標楷體" w:hAnsi="標楷體"/>
          <w:b/>
          <w:sz w:val="28"/>
        </w:rPr>
        <w:t>以保證婦女在教育方面享有與男子平等的權利</w:t>
      </w:r>
      <w:r>
        <w:rPr>
          <w:rFonts w:ascii="標楷體" w:eastAsia="標楷體" w:hAnsi="標楷體"/>
          <w:sz w:val="28"/>
        </w:rPr>
        <w:t>，特別是在男女平等的基礎上保證：</w:t>
      </w:r>
    </w:p>
    <w:p w:rsidR="00384400" w:rsidRDefault="00B22B1B">
      <w:pPr>
        <w:spacing w:line="480" w:lineRule="exact"/>
        <w:ind w:left="660" w:hanging="420"/>
      </w:pPr>
      <w:r>
        <w:rPr>
          <w:rFonts w:ascii="標楷體" w:eastAsia="標楷體" w:hAnsi="標楷體"/>
          <w:sz w:val="28"/>
        </w:rPr>
        <w:t>(a)</w:t>
      </w:r>
      <w:r>
        <w:rPr>
          <w:rFonts w:ascii="標楷體" w:eastAsia="標楷體" w:hAnsi="標楷體"/>
          <w:sz w:val="28"/>
        </w:rPr>
        <w:t>在各類教育機構，不論其在城市或農村，在</w:t>
      </w:r>
      <w:r>
        <w:rPr>
          <w:rFonts w:ascii="標楷體" w:eastAsia="標楷體" w:hAnsi="標楷體"/>
          <w:b/>
          <w:sz w:val="28"/>
        </w:rPr>
        <w:t>專業和職業輔導、取得學習機會和文憑</w:t>
      </w:r>
      <w:r>
        <w:rPr>
          <w:rFonts w:ascii="標楷體" w:eastAsia="標楷體" w:hAnsi="標楷體"/>
          <w:sz w:val="28"/>
        </w:rPr>
        <w:t>等方面都有相同的條件。在學前教育、普通教育、技術、專業和高等技術教育以及各種職業培訓方面，都應保證這種平等；</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(b)</w:t>
      </w:r>
      <w:r>
        <w:rPr>
          <w:rFonts w:ascii="標楷體" w:eastAsia="標楷體" w:hAnsi="標楷體"/>
          <w:b/>
          <w:sz w:val="28"/>
        </w:rPr>
        <w:t>課程、考試、師資</w:t>
      </w:r>
      <w:r>
        <w:rPr>
          <w:rFonts w:ascii="標楷體" w:eastAsia="標楷體" w:hAnsi="標楷體"/>
          <w:sz w:val="28"/>
        </w:rPr>
        <w:t>的標準、</w:t>
      </w:r>
      <w:r>
        <w:rPr>
          <w:rFonts w:ascii="標楷體" w:eastAsia="標楷體" w:hAnsi="標楷體"/>
          <w:b/>
          <w:sz w:val="28"/>
        </w:rPr>
        <w:t>校舍和設備</w:t>
      </w:r>
      <w:r>
        <w:rPr>
          <w:rFonts w:ascii="標楷體" w:eastAsia="標楷體" w:hAnsi="標楷體"/>
          <w:sz w:val="28"/>
        </w:rPr>
        <w:t>的質量一律相同；</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(c)</w:t>
      </w:r>
      <w:r>
        <w:rPr>
          <w:rFonts w:ascii="標楷體" w:eastAsia="標楷體" w:hAnsi="標楷體"/>
          <w:sz w:val="28"/>
        </w:rPr>
        <w:t>為消除在各級和各種方式的教育中對男女任務的任何定型觀念，應鼓勵實行</w:t>
      </w:r>
      <w:r>
        <w:rPr>
          <w:rFonts w:ascii="標楷體" w:eastAsia="標楷體" w:hAnsi="標楷體"/>
          <w:b/>
          <w:sz w:val="28"/>
        </w:rPr>
        <w:t>男女同校</w:t>
      </w:r>
      <w:r>
        <w:rPr>
          <w:rFonts w:ascii="標楷體" w:eastAsia="標楷體" w:hAnsi="標楷體"/>
          <w:sz w:val="28"/>
        </w:rPr>
        <w:t>和其他有助於實現這個目的的教育形式，並特別應修訂</w:t>
      </w:r>
      <w:r>
        <w:rPr>
          <w:rFonts w:ascii="標楷體" w:eastAsia="標楷體" w:hAnsi="標楷體"/>
          <w:b/>
          <w:sz w:val="28"/>
        </w:rPr>
        <w:t>教科書和課程</w:t>
      </w:r>
      <w:r>
        <w:rPr>
          <w:rFonts w:ascii="標楷體" w:eastAsia="標楷體" w:hAnsi="標楷體"/>
          <w:sz w:val="28"/>
        </w:rPr>
        <w:t>以及相應地修改</w:t>
      </w:r>
      <w:r>
        <w:rPr>
          <w:rFonts w:ascii="標楷體" w:eastAsia="標楷體" w:hAnsi="標楷體"/>
          <w:b/>
          <w:sz w:val="28"/>
        </w:rPr>
        <w:t>教學方法</w:t>
      </w:r>
      <w:r>
        <w:rPr>
          <w:rFonts w:ascii="標楷體" w:eastAsia="標楷體" w:hAnsi="標楷體"/>
          <w:sz w:val="28"/>
        </w:rPr>
        <w:t>；</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(d)</w:t>
      </w:r>
      <w:r>
        <w:rPr>
          <w:rFonts w:ascii="標楷體" w:eastAsia="標楷體" w:hAnsi="標楷體"/>
          <w:sz w:val="28"/>
        </w:rPr>
        <w:t>領受</w:t>
      </w:r>
      <w:r>
        <w:rPr>
          <w:rFonts w:ascii="標楷體" w:eastAsia="標楷體" w:hAnsi="標楷體"/>
          <w:b/>
          <w:sz w:val="28"/>
        </w:rPr>
        <w:t>獎學金</w:t>
      </w:r>
      <w:r>
        <w:rPr>
          <w:rFonts w:ascii="標楷體" w:eastAsia="標楷體" w:hAnsi="標楷體"/>
          <w:sz w:val="28"/>
        </w:rPr>
        <w:t>和其他</w:t>
      </w:r>
      <w:r>
        <w:rPr>
          <w:rFonts w:ascii="標楷體" w:eastAsia="標楷體" w:hAnsi="標楷體"/>
          <w:b/>
          <w:sz w:val="28"/>
        </w:rPr>
        <w:t>研究補助金</w:t>
      </w:r>
      <w:r>
        <w:rPr>
          <w:rFonts w:ascii="標楷體" w:eastAsia="標楷體" w:hAnsi="標楷體"/>
          <w:sz w:val="28"/>
        </w:rPr>
        <w:t>的機會相同；</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(e)</w:t>
      </w:r>
      <w:r>
        <w:rPr>
          <w:rFonts w:ascii="標楷體" w:eastAsia="標楷體" w:hAnsi="標楷體"/>
          <w:sz w:val="28"/>
        </w:rPr>
        <w:t>接受</w:t>
      </w:r>
      <w:r>
        <w:rPr>
          <w:rFonts w:ascii="標楷體" w:eastAsia="標楷體" w:hAnsi="標楷體"/>
          <w:b/>
          <w:sz w:val="28"/>
        </w:rPr>
        <w:t>成人教育</w:t>
      </w:r>
      <w:r>
        <w:rPr>
          <w:rFonts w:ascii="標楷體" w:eastAsia="標楷體" w:hAnsi="標楷體"/>
          <w:sz w:val="28"/>
        </w:rPr>
        <w:t>、包括</w:t>
      </w:r>
      <w:r>
        <w:rPr>
          <w:rFonts w:ascii="標楷體" w:eastAsia="標楷體" w:hAnsi="標楷體"/>
          <w:b/>
          <w:sz w:val="28"/>
        </w:rPr>
        <w:t>成人識字</w:t>
      </w:r>
      <w:r>
        <w:rPr>
          <w:rFonts w:ascii="標楷體" w:eastAsia="標楷體" w:hAnsi="標楷體"/>
          <w:sz w:val="28"/>
        </w:rPr>
        <w:t>和</w:t>
      </w:r>
      <w:r>
        <w:rPr>
          <w:rFonts w:ascii="標楷體" w:eastAsia="標楷體" w:hAnsi="標楷體"/>
          <w:b/>
          <w:sz w:val="28"/>
        </w:rPr>
        <w:t>實用讀寫能</w:t>
      </w:r>
      <w:r>
        <w:rPr>
          <w:rFonts w:ascii="標楷體" w:eastAsia="標楷體" w:hAnsi="標楷體"/>
          <w:b/>
          <w:sz w:val="28"/>
        </w:rPr>
        <w:t>力</w:t>
      </w:r>
      <w:r>
        <w:rPr>
          <w:rFonts w:ascii="標楷體" w:eastAsia="標楷體" w:hAnsi="標楷體"/>
          <w:sz w:val="28"/>
        </w:rPr>
        <w:t>的教育的機會相同，特別是為了盡早縮短男女之間存在的教育水平上的一切差距；</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(f)</w:t>
      </w:r>
      <w:r>
        <w:rPr>
          <w:rFonts w:ascii="標楷體" w:eastAsia="標楷體" w:hAnsi="標楷體"/>
          <w:b/>
          <w:sz w:val="28"/>
        </w:rPr>
        <w:t>減少女生退學率</w:t>
      </w:r>
      <w:r>
        <w:rPr>
          <w:rFonts w:ascii="標楷體" w:eastAsia="標楷體" w:hAnsi="標楷體"/>
          <w:sz w:val="28"/>
        </w:rPr>
        <w:t>，並為離校過早的少女和婦女安排各種方案；</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lastRenderedPageBreak/>
        <w:t>(g)</w:t>
      </w:r>
      <w:r>
        <w:rPr>
          <w:rFonts w:ascii="標楷體" w:eastAsia="標楷體" w:hAnsi="標楷體"/>
          <w:sz w:val="28"/>
        </w:rPr>
        <w:t>積極參加</w:t>
      </w:r>
      <w:r>
        <w:rPr>
          <w:rFonts w:ascii="標楷體" w:eastAsia="標楷體" w:hAnsi="標楷體"/>
          <w:b/>
          <w:sz w:val="28"/>
        </w:rPr>
        <w:t>運動</w:t>
      </w:r>
      <w:r>
        <w:rPr>
          <w:rFonts w:ascii="標楷體" w:eastAsia="標楷體" w:hAnsi="標楷體"/>
          <w:sz w:val="28"/>
        </w:rPr>
        <w:t>和</w:t>
      </w:r>
      <w:r>
        <w:rPr>
          <w:rFonts w:ascii="標楷體" w:eastAsia="標楷體" w:hAnsi="標楷體"/>
          <w:b/>
          <w:sz w:val="28"/>
        </w:rPr>
        <w:t>體育</w:t>
      </w:r>
      <w:r>
        <w:rPr>
          <w:rFonts w:ascii="標楷體" w:eastAsia="標楷體" w:hAnsi="標楷體"/>
          <w:sz w:val="28"/>
        </w:rPr>
        <w:t>的機會相同；</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(h)</w:t>
      </w:r>
      <w:r>
        <w:rPr>
          <w:rFonts w:ascii="標楷體" w:eastAsia="標楷體" w:hAnsi="標楷體"/>
          <w:sz w:val="28"/>
        </w:rPr>
        <w:t>有接受</w:t>
      </w:r>
      <w:r>
        <w:rPr>
          <w:rFonts w:ascii="標楷體" w:eastAsia="標楷體" w:hAnsi="標楷體"/>
          <w:b/>
          <w:sz w:val="28"/>
        </w:rPr>
        <w:t>特殊知識輔導</w:t>
      </w:r>
      <w:r>
        <w:rPr>
          <w:rFonts w:ascii="標楷體" w:eastAsia="標楷體" w:hAnsi="標楷體"/>
          <w:sz w:val="28"/>
        </w:rPr>
        <w:t>的機會，以有助於保障家庭健康和幸福，包括關於計劃生育的知識和輔導在內。</w:t>
      </w:r>
    </w:p>
    <w:p w:rsidR="00384400" w:rsidRDefault="00384400">
      <w:pPr>
        <w:spacing w:line="480" w:lineRule="exact"/>
        <w:ind w:left="520" w:hanging="280"/>
        <w:rPr>
          <w:rFonts w:ascii="標楷體" w:eastAsia="標楷體" w:hAnsi="標楷體"/>
          <w:sz w:val="28"/>
        </w:rPr>
      </w:pPr>
    </w:p>
    <w:p w:rsidR="00384400" w:rsidRDefault="00B22B1B">
      <w:pPr>
        <w:spacing w:line="480" w:lineRule="exact"/>
        <w:rPr>
          <w:rFonts w:ascii="標楷體" w:eastAsia="標楷體" w:hAnsi="標楷體"/>
          <w:b/>
          <w:sz w:val="28"/>
        </w:rPr>
      </w:pPr>
      <w:r>
        <w:rPr>
          <w:rFonts w:ascii="標楷體" w:eastAsia="標楷體" w:hAnsi="標楷體"/>
          <w:b/>
          <w:sz w:val="28"/>
        </w:rPr>
        <w:t>第十六條</w:t>
      </w:r>
    </w:p>
    <w:p w:rsidR="00384400" w:rsidRDefault="00B22B1B">
      <w:pPr>
        <w:spacing w:line="480" w:lineRule="exact"/>
        <w:ind w:left="280" w:hanging="280"/>
        <w:rPr>
          <w:rFonts w:ascii="標楷體" w:eastAsia="標楷體" w:hAnsi="標楷體"/>
          <w:sz w:val="28"/>
        </w:rPr>
      </w:pPr>
      <w:r>
        <w:rPr>
          <w:rFonts w:ascii="標楷體" w:eastAsia="標楷體" w:hAnsi="標楷體"/>
          <w:sz w:val="28"/>
        </w:rPr>
        <w:t>1.</w:t>
      </w:r>
      <w:r>
        <w:rPr>
          <w:rFonts w:ascii="標楷體" w:eastAsia="標楷體" w:hAnsi="標楷體"/>
          <w:sz w:val="28"/>
        </w:rPr>
        <w:t>締約各國應採取一切適當措施，消除在有關婚姻和家庭關係的一切事務上對婦女的歧視，並特別應保證婦女在男女平等的基礎上：</w:t>
      </w:r>
    </w:p>
    <w:p w:rsidR="00384400" w:rsidRDefault="00B22B1B">
      <w:pPr>
        <w:spacing w:line="480" w:lineRule="exact"/>
        <w:ind w:left="660" w:hanging="420"/>
      </w:pPr>
      <w:r>
        <w:rPr>
          <w:rFonts w:ascii="標楷體" w:eastAsia="標楷體" w:hAnsi="標楷體"/>
          <w:sz w:val="28"/>
        </w:rPr>
        <w:t>(a)</w:t>
      </w:r>
      <w:r>
        <w:rPr>
          <w:rFonts w:ascii="標楷體" w:eastAsia="標楷體" w:hAnsi="標楷體"/>
          <w:sz w:val="28"/>
        </w:rPr>
        <w:t>有相同的</w:t>
      </w:r>
      <w:r>
        <w:rPr>
          <w:rFonts w:ascii="標楷體" w:eastAsia="標楷體" w:hAnsi="標楷體"/>
          <w:b/>
          <w:sz w:val="28"/>
        </w:rPr>
        <w:t>締結婚約</w:t>
      </w:r>
      <w:r>
        <w:rPr>
          <w:rFonts w:ascii="標楷體" w:eastAsia="標楷體" w:hAnsi="標楷體"/>
          <w:sz w:val="28"/>
        </w:rPr>
        <w:t>的權利；</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(b)</w:t>
      </w:r>
      <w:r>
        <w:rPr>
          <w:rFonts w:ascii="標楷體" w:eastAsia="標楷體" w:hAnsi="標楷體"/>
          <w:sz w:val="28"/>
        </w:rPr>
        <w:t>有相同的</w:t>
      </w:r>
      <w:r>
        <w:rPr>
          <w:rFonts w:ascii="標楷體" w:eastAsia="標楷體" w:hAnsi="標楷體"/>
          <w:b/>
          <w:sz w:val="28"/>
        </w:rPr>
        <w:t>自由選擇配偶</w:t>
      </w:r>
      <w:r>
        <w:rPr>
          <w:rFonts w:ascii="標楷體" w:eastAsia="標楷體" w:hAnsi="標楷體"/>
          <w:sz w:val="28"/>
        </w:rPr>
        <w:t>和非經本人自由表示、完全同意不締結婚約的權</w:t>
      </w:r>
      <w:r>
        <w:rPr>
          <w:rFonts w:ascii="標楷體" w:eastAsia="標楷體" w:hAnsi="標楷體"/>
          <w:sz w:val="28"/>
        </w:rPr>
        <w:t>利；</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(c)</w:t>
      </w:r>
      <w:r>
        <w:rPr>
          <w:rFonts w:ascii="標楷體" w:eastAsia="標楷體" w:hAnsi="標楷體"/>
          <w:sz w:val="28"/>
        </w:rPr>
        <w:t>在</w:t>
      </w:r>
      <w:r>
        <w:rPr>
          <w:rFonts w:ascii="標楷體" w:eastAsia="標楷體" w:hAnsi="標楷體"/>
          <w:b/>
          <w:sz w:val="28"/>
        </w:rPr>
        <w:t>婚姻存續期間</w:t>
      </w:r>
      <w:r>
        <w:rPr>
          <w:rFonts w:ascii="標楷體" w:eastAsia="標楷體" w:hAnsi="標楷體"/>
          <w:sz w:val="28"/>
        </w:rPr>
        <w:t>以及</w:t>
      </w:r>
      <w:r>
        <w:rPr>
          <w:rFonts w:ascii="標楷體" w:eastAsia="標楷體" w:hAnsi="標楷體"/>
          <w:b/>
          <w:sz w:val="28"/>
        </w:rPr>
        <w:t>解除婚姻關係</w:t>
      </w:r>
      <w:r>
        <w:rPr>
          <w:rFonts w:ascii="標楷體" w:eastAsia="標楷體" w:hAnsi="標楷體"/>
          <w:sz w:val="28"/>
        </w:rPr>
        <w:t>時，有相同的權利和義務；</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(d)</w:t>
      </w:r>
      <w:r>
        <w:rPr>
          <w:rFonts w:ascii="標楷體" w:eastAsia="標楷體" w:hAnsi="標楷體"/>
          <w:sz w:val="28"/>
        </w:rPr>
        <w:t>不論婚姻狀況如何，在</w:t>
      </w:r>
      <w:r>
        <w:rPr>
          <w:rFonts w:ascii="標楷體" w:eastAsia="標楷體" w:hAnsi="標楷體"/>
          <w:b/>
          <w:sz w:val="28"/>
        </w:rPr>
        <w:t>有關子女的事務</w:t>
      </w:r>
      <w:r>
        <w:rPr>
          <w:rFonts w:ascii="標楷體" w:eastAsia="標楷體" w:hAnsi="標楷體"/>
          <w:sz w:val="28"/>
        </w:rPr>
        <w:t>上，作為父母親有相同的權利和義務。但在任何情形下，均應以子女的利益為重；</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(e)</w:t>
      </w:r>
      <w:r>
        <w:rPr>
          <w:rFonts w:ascii="標楷體" w:eastAsia="標楷體" w:hAnsi="標楷體"/>
          <w:sz w:val="28"/>
        </w:rPr>
        <w:t>有相同的權利自由負責地決定</w:t>
      </w:r>
      <w:r>
        <w:rPr>
          <w:rFonts w:ascii="標楷體" w:eastAsia="標楷體" w:hAnsi="標楷體"/>
          <w:b/>
          <w:sz w:val="28"/>
        </w:rPr>
        <w:t>子女人數</w:t>
      </w:r>
      <w:r>
        <w:rPr>
          <w:rFonts w:ascii="標楷體" w:eastAsia="標楷體" w:hAnsi="標楷體"/>
          <w:sz w:val="28"/>
        </w:rPr>
        <w:t>和</w:t>
      </w:r>
      <w:r>
        <w:rPr>
          <w:rFonts w:ascii="標楷體" w:eastAsia="標楷體" w:hAnsi="標楷體"/>
          <w:b/>
          <w:sz w:val="28"/>
        </w:rPr>
        <w:t>生育間隔</w:t>
      </w:r>
      <w:r>
        <w:rPr>
          <w:rFonts w:ascii="標楷體" w:eastAsia="標楷體" w:hAnsi="標楷體"/>
          <w:sz w:val="28"/>
        </w:rPr>
        <w:t>，並有機會使婦女獲得行使這種權利的知識、教育和方法；</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(f)</w:t>
      </w:r>
      <w:r>
        <w:rPr>
          <w:rFonts w:ascii="標楷體" w:eastAsia="標楷體" w:hAnsi="標楷體"/>
          <w:sz w:val="28"/>
        </w:rPr>
        <w:t>在</w:t>
      </w:r>
      <w:r>
        <w:rPr>
          <w:rFonts w:ascii="標楷體" w:eastAsia="標楷體" w:hAnsi="標楷體"/>
          <w:b/>
          <w:sz w:val="28"/>
        </w:rPr>
        <w:t>監護、看管、受托和收養子女</w:t>
      </w:r>
      <w:r>
        <w:rPr>
          <w:rFonts w:ascii="標楷體" w:eastAsia="標楷體" w:hAnsi="標楷體"/>
          <w:sz w:val="28"/>
        </w:rPr>
        <w:t>或類似的制度方面，如果國家法規有這些觀念的話，有相同的權利和義務。但在任何情形下，均應以子女的利益為重；</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(g)</w:t>
      </w:r>
      <w:r>
        <w:rPr>
          <w:rFonts w:ascii="標楷體" w:eastAsia="標楷體" w:hAnsi="標楷體"/>
          <w:sz w:val="28"/>
        </w:rPr>
        <w:t>夫妻有相同的</w:t>
      </w:r>
      <w:r>
        <w:rPr>
          <w:rFonts w:ascii="標楷體" w:eastAsia="標楷體" w:hAnsi="標楷體"/>
          <w:b/>
          <w:sz w:val="28"/>
        </w:rPr>
        <w:t>個人權利</w:t>
      </w:r>
      <w:r>
        <w:rPr>
          <w:rFonts w:ascii="標楷體" w:eastAsia="標楷體" w:hAnsi="標楷體"/>
          <w:sz w:val="28"/>
        </w:rPr>
        <w:t>，包括選擇姓氏、專業和職業的權利；</w:t>
      </w:r>
      <w:r>
        <w:rPr>
          <w:rFonts w:ascii="標楷體" w:eastAsia="標楷體" w:hAnsi="標楷體"/>
          <w:sz w:val="28"/>
        </w:rPr>
        <w:t xml:space="preserve"> </w:t>
      </w:r>
    </w:p>
    <w:p w:rsidR="00384400" w:rsidRDefault="00B22B1B">
      <w:pPr>
        <w:spacing w:line="480" w:lineRule="exact"/>
        <w:ind w:left="660" w:hanging="420"/>
      </w:pPr>
      <w:r>
        <w:rPr>
          <w:rFonts w:ascii="標楷體" w:eastAsia="標楷體" w:hAnsi="標楷體"/>
          <w:sz w:val="28"/>
        </w:rPr>
        <w:t>(h)</w:t>
      </w:r>
      <w:r>
        <w:rPr>
          <w:rFonts w:ascii="標楷體" w:eastAsia="標楷體" w:hAnsi="標楷體"/>
          <w:sz w:val="28"/>
        </w:rPr>
        <w:t>配偶雙方在</w:t>
      </w:r>
      <w:r>
        <w:rPr>
          <w:rFonts w:ascii="標楷體" w:eastAsia="標楷體" w:hAnsi="標楷體"/>
          <w:b/>
          <w:sz w:val="28"/>
        </w:rPr>
        <w:t>財產</w:t>
      </w:r>
      <w:r>
        <w:rPr>
          <w:rFonts w:ascii="標楷體" w:eastAsia="標楷體" w:hAnsi="標楷體"/>
          <w:sz w:val="28"/>
        </w:rPr>
        <w:t>的所有、取得、經營、管理、享有、處置方面，不論是無償的或是收取價值酬報的，都具有相同的權利。</w:t>
      </w:r>
    </w:p>
    <w:p w:rsidR="00384400" w:rsidRDefault="00B22B1B">
      <w:pPr>
        <w:spacing w:line="480" w:lineRule="exact"/>
        <w:ind w:left="280" w:hanging="280"/>
        <w:rPr>
          <w:rFonts w:ascii="標楷體" w:eastAsia="標楷體" w:hAnsi="標楷體"/>
          <w:sz w:val="28"/>
        </w:rPr>
      </w:pPr>
      <w:r>
        <w:rPr>
          <w:rFonts w:ascii="標楷體" w:eastAsia="標楷體" w:hAnsi="標楷體"/>
          <w:sz w:val="28"/>
        </w:rPr>
        <w:t>2.</w:t>
      </w:r>
      <w:r>
        <w:rPr>
          <w:rFonts w:ascii="標楷體" w:eastAsia="標楷體" w:hAnsi="標楷體"/>
          <w:sz w:val="28"/>
        </w:rPr>
        <w:t>童年訂婚和結婚應不具法律效力，並應採取一切必要行動，包括制訂法律，規定結婚最低年齡，並規定婚姻必須向正式機構登記。</w:t>
      </w:r>
    </w:p>
    <w:p w:rsidR="00384400" w:rsidRDefault="00384400">
      <w:pPr>
        <w:spacing w:line="480" w:lineRule="exact"/>
        <w:ind w:left="280" w:hanging="280"/>
        <w:rPr>
          <w:rFonts w:ascii="標楷體" w:eastAsia="標楷體" w:hAnsi="標楷體"/>
          <w:sz w:val="28"/>
        </w:rPr>
      </w:pPr>
    </w:p>
    <w:p w:rsidR="00384400" w:rsidRDefault="00B22B1B">
      <w:pPr>
        <w:spacing w:line="480" w:lineRule="exact"/>
        <w:rPr>
          <w:rFonts w:ascii="標楷體" w:eastAsia="標楷體" w:hAnsi="標楷體"/>
          <w:b/>
          <w:sz w:val="28"/>
        </w:rPr>
      </w:pPr>
      <w:r>
        <w:rPr>
          <w:rFonts w:ascii="標楷體" w:eastAsia="標楷體" w:hAnsi="標楷體"/>
          <w:b/>
          <w:sz w:val="28"/>
        </w:rPr>
        <w:t>CEDAW</w:t>
      </w:r>
      <w:r>
        <w:rPr>
          <w:rFonts w:ascii="標楷體" w:eastAsia="標楷體" w:hAnsi="標楷體"/>
          <w:b/>
          <w:sz w:val="28"/>
        </w:rPr>
        <w:t>第</w:t>
      </w:r>
      <w:r>
        <w:rPr>
          <w:rFonts w:ascii="標楷體" w:eastAsia="標楷體" w:hAnsi="標楷體"/>
          <w:b/>
          <w:sz w:val="28"/>
        </w:rPr>
        <w:t>21</w:t>
      </w:r>
      <w:r>
        <w:rPr>
          <w:rFonts w:ascii="標楷體" w:eastAsia="標楷體" w:hAnsi="標楷體"/>
          <w:b/>
          <w:sz w:val="28"/>
        </w:rPr>
        <w:t>號一般性建議：婚姻和家庭關係中的平等</w:t>
      </w:r>
    </w:p>
    <w:p w:rsidR="00384400" w:rsidRDefault="00B22B1B">
      <w:pPr>
        <w:spacing w:line="480" w:lineRule="exact"/>
      </w:pPr>
      <w:r>
        <w:rPr>
          <w:rFonts w:ascii="標楷體" w:eastAsia="標楷體" w:hAnsi="標楷體"/>
          <w:sz w:val="28"/>
        </w:rPr>
        <w:t>不分性別在</w:t>
      </w:r>
      <w:r>
        <w:rPr>
          <w:rFonts w:ascii="標楷體" w:eastAsia="標楷體" w:hAnsi="標楷體"/>
          <w:b/>
          <w:sz w:val="28"/>
        </w:rPr>
        <w:t>社會上和家庭中享有平等的人權</w:t>
      </w:r>
      <w:r>
        <w:rPr>
          <w:rFonts w:ascii="標楷體" w:eastAsia="標楷體" w:hAnsi="標楷體"/>
          <w:sz w:val="28"/>
        </w:rPr>
        <w:t>；不論在家務分工、教養子女等家庭任務及婚姻中財產分配、繼承權益等均享有平等之權利。</w:t>
      </w:r>
    </w:p>
    <w:p w:rsidR="00384400" w:rsidRDefault="00384400">
      <w:pPr>
        <w:spacing w:line="480" w:lineRule="exact"/>
        <w:rPr>
          <w:rFonts w:ascii="標楷體" w:eastAsia="標楷體" w:hAnsi="標楷體"/>
          <w:sz w:val="28"/>
        </w:rPr>
      </w:pPr>
    </w:p>
    <w:p w:rsidR="00384400" w:rsidRDefault="00B22B1B">
      <w:pPr>
        <w:spacing w:line="480" w:lineRule="exact"/>
        <w:ind w:left="280" w:hanging="280"/>
        <w:rPr>
          <w:rFonts w:ascii="標楷體" w:eastAsia="標楷體" w:hAnsi="標楷體"/>
          <w:b/>
          <w:sz w:val="28"/>
        </w:rPr>
      </w:pPr>
      <w:r>
        <w:rPr>
          <w:rFonts w:ascii="標楷體" w:eastAsia="標楷體" w:hAnsi="標楷體"/>
          <w:b/>
          <w:sz w:val="28"/>
        </w:rPr>
        <w:t>CEDAW</w:t>
      </w:r>
      <w:r>
        <w:rPr>
          <w:rFonts w:ascii="標楷體" w:eastAsia="標楷體" w:hAnsi="標楷體"/>
          <w:b/>
          <w:sz w:val="28"/>
        </w:rPr>
        <w:t>第</w:t>
      </w:r>
      <w:r>
        <w:rPr>
          <w:rFonts w:ascii="標楷體" w:eastAsia="標楷體" w:hAnsi="標楷體"/>
          <w:b/>
          <w:sz w:val="28"/>
        </w:rPr>
        <w:t>29</w:t>
      </w:r>
      <w:r>
        <w:rPr>
          <w:rFonts w:ascii="標楷體" w:eastAsia="標楷體" w:hAnsi="標楷體"/>
          <w:b/>
          <w:sz w:val="28"/>
        </w:rPr>
        <w:t>號一般性建議：婚姻、家庭關係及其解消的經濟後果</w:t>
      </w:r>
    </w:p>
    <w:p w:rsidR="00384400" w:rsidRDefault="00B22B1B">
      <w:pPr>
        <w:spacing w:line="480" w:lineRule="exact"/>
        <w:ind w:left="280" w:hanging="280"/>
        <w:rPr>
          <w:rFonts w:ascii="標楷體" w:eastAsia="標楷體" w:hAnsi="標楷體"/>
          <w:sz w:val="28"/>
        </w:rPr>
      </w:pPr>
      <w:r>
        <w:rPr>
          <w:rFonts w:ascii="標楷體" w:eastAsia="標楷體" w:hAnsi="標楷體"/>
          <w:sz w:val="28"/>
        </w:rPr>
        <w:t>1.</w:t>
      </w:r>
      <w:r>
        <w:rPr>
          <w:rFonts w:ascii="標楷體" w:eastAsia="標楷體" w:hAnsi="標楷體"/>
          <w:sz w:val="28"/>
        </w:rPr>
        <w:t>廣義地理解「家庭」概念，「家庭」在各國之間和國家內部具有各種不同的形式和職能。</w:t>
      </w:r>
    </w:p>
    <w:p w:rsidR="00384400" w:rsidRDefault="00B22B1B">
      <w:pPr>
        <w:widowControl/>
        <w:spacing w:line="480" w:lineRule="exact"/>
      </w:pPr>
      <w:r>
        <w:rPr>
          <w:rFonts w:ascii="標楷體" w:eastAsia="標楷體" w:hAnsi="標楷體"/>
          <w:sz w:val="28"/>
        </w:rPr>
        <w:lastRenderedPageBreak/>
        <w:t>2.</w:t>
      </w:r>
      <w:r>
        <w:rPr>
          <w:rFonts w:ascii="標楷體" w:eastAsia="標楷體" w:hAnsi="標楷體"/>
          <w:sz w:val="28"/>
        </w:rPr>
        <w:t>國家有義務解決各種形式的</w:t>
      </w:r>
      <w:r>
        <w:rPr>
          <w:rFonts w:ascii="標楷體" w:eastAsia="標楷體" w:hAnsi="標楷體"/>
          <w:b/>
          <w:sz w:val="28"/>
        </w:rPr>
        <w:t>家庭和家庭關係中的性和性別歧視</w:t>
      </w:r>
      <w:r>
        <w:rPr>
          <w:rFonts w:ascii="標楷體" w:eastAsia="標楷體" w:hAnsi="標楷體"/>
          <w:sz w:val="28"/>
        </w:rPr>
        <w:t>。</w:t>
      </w:r>
    </w:p>
    <w:p w:rsidR="00384400" w:rsidRDefault="00384400">
      <w:pPr>
        <w:widowControl/>
        <w:spacing w:line="480" w:lineRule="exact"/>
        <w:rPr>
          <w:rFonts w:ascii="標楷體" w:eastAsia="標楷體" w:hAnsi="標楷體"/>
          <w:sz w:val="28"/>
        </w:rPr>
      </w:pPr>
    </w:p>
    <w:p w:rsidR="00384400" w:rsidRDefault="00B22B1B">
      <w:pPr>
        <w:widowControl/>
        <w:spacing w:line="480" w:lineRule="exact"/>
        <w:rPr>
          <w:rFonts w:ascii="標楷體" w:eastAsia="標楷體" w:hAnsi="標楷體"/>
          <w:b/>
          <w:bCs/>
          <w:sz w:val="28"/>
        </w:rPr>
      </w:pPr>
      <w:r>
        <w:rPr>
          <w:rFonts w:ascii="標楷體" w:eastAsia="標楷體" w:hAnsi="標楷體"/>
          <w:b/>
          <w:bCs/>
          <w:sz w:val="28"/>
        </w:rPr>
        <w:t>CEDAW</w:t>
      </w:r>
      <w:r>
        <w:rPr>
          <w:rFonts w:ascii="標楷體" w:eastAsia="標楷體" w:hAnsi="標楷體"/>
          <w:b/>
          <w:bCs/>
          <w:sz w:val="28"/>
        </w:rPr>
        <w:t>第</w:t>
      </w:r>
      <w:r>
        <w:rPr>
          <w:rFonts w:ascii="標楷體" w:eastAsia="標楷體" w:hAnsi="標楷體"/>
          <w:b/>
          <w:bCs/>
          <w:sz w:val="28"/>
        </w:rPr>
        <w:t>3</w:t>
      </w:r>
      <w:r>
        <w:rPr>
          <w:rFonts w:ascii="標楷體" w:eastAsia="標楷體" w:hAnsi="標楷體"/>
          <w:b/>
          <w:bCs/>
          <w:sz w:val="28"/>
        </w:rPr>
        <w:t>次國家報告</w:t>
      </w:r>
    </w:p>
    <w:p w:rsidR="00384400" w:rsidRDefault="00B22B1B">
      <w:pPr>
        <w:widowControl/>
        <w:spacing w:line="480" w:lineRule="exact"/>
        <w:rPr>
          <w:rFonts w:ascii="標楷體" w:eastAsia="標楷體" w:hAnsi="標楷體"/>
          <w:b/>
          <w:bCs/>
          <w:sz w:val="28"/>
        </w:rPr>
      </w:pPr>
      <w:r>
        <w:rPr>
          <w:rFonts w:ascii="標楷體" w:eastAsia="標楷體" w:hAnsi="標楷體"/>
          <w:b/>
          <w:bCs/>
          <w:sz w:val="28"/>
        </w:rPr>
        <w:t>第</w:t>
      </w:r>
      <w:r>
        <w:rPr>
          <w:rFonts w:ascii="標楷體" w:eastAsia="標楷體" w:hAnsi="標楷體"/>
          <w:b/>
          <w:bCs/>
          <w:sz w:val="28"/>
        </w:rPr>
        <w:t>26</w:t>
      </w:r>
      <w:r>
        <w:rPr>
          <w:rFonts w:ascii="標楷體" w:eastAsia="標楷體" w:hAnsi="標楷體"/>
          <w:b/>
          <w:bCs/>
          <w:sz w:val="28"/>
        </w:rPr>
        <w:t>、</w:t>
      </w:r>
      <w:r>
        <w:rPr>
          <w:rFonts w:ascii="標楷體" w:eastAsia="標楷體" w:hAnsi="標楷體"/>
          <w:b/>
          <w:bCs/>
          <w:sz w:val="28"/>
        </w:rPr>
        <w:t>27</w:t>
      </w:r>
      <w:r>
        <w:rPr>
          <w:rFonts w:ascii="標楷體" w:eastAsia="標楷體" w:hAnsi="標楷體"/>
          <w:b/>
          <w:bCs/>
          <w:sz w:val="28"/>
        </w:rPr>
        <w:t>點</w:t>
      </w:r>
      <w:r>
        <w:rPr>
          <w:rFonts w:ascii="標楷體" w:eastAsia="標楷體" w:hAnsi="標楷體"/>
          <w:b/>
          <w:bCs/>
          <w:sz w:val="28"/>
        </w:rPr>
        <w:t>-</w:t>
      </w:r>
      <w:r>
        <w:rPr>
          <w:rFonts w:ascii="標楷體" w:eastAsia="標楷體" w:hAnsi="標楷體"/>
          <w:b/>
          <w:bCs/>
          <w:sz w:val="28"/>
        </w:rPr>
        <w:t>破除刻板印象</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結論性意見：</w:t>
      </w:r>
    </w:p>
    <w:p w:rsidR="00384400" w:rsidRDefault="00B22B1B">
      <w:pPr>
        <w:widowControl/>
        <w:numPr>
          <w:ilvl w:val="0"/>
          <w:numId w:val="1"/>
        </w:numPr>
        <w:spacing w:line="480" w:lineRule="exact"/>
        <w:rPr>
          <w:rFonts w:ascii="標楷體" w:eastAsia="標楷體" w:hAnsi="標楷體"/>
          <w:sz w:val="28"/>
        </w:rPr>
      </w:pPr>
      <w:r>
        <w:rPr>
          <w:rFonts w:ascii="標楷體" w:eastAsia="標楷體" w:hAnsi="標楷體"/>
          <w:sz w:val="28"/>
        </w:rPr>
        <w:t>教育選擇及家庭分工仍存在性別不平等。</w:t>
      </w:r>
    </w:p>
    <w:p w:rsidR="00384400" w:rsidRDefault="00B22B1B">
      <w:pPr>
        <w:widowControl/>
        <w:numPr>
          <w:ilvl w:val="0"/>
          <w:numId w:val="1"/>
        </w:numPr>
        <w:spacing w:line="480" w:lineRule="exact"/>
        <w:rPr>
          <w:rFonts w:ascii="標楷體" w:eastAsia="標楷體" w:hAnsi="標楷體"/>
          <w:sz w:val="28"/>
        </w:rPr>
      </w:pPr>
      <w:r>
        <w:rPr>
          <w:rFonts w:ascii="標楷體" w:eastAsia="標楷體" w:hAnsi="標楷體"/>
          <w:sz w:val="28"/>
        </w:rPr>
        <w:t>大眾傳播媒體、社群網絡、廣告仍存在刻板印象。</w:t>
      </w:r>
    </w:p>
    <w:p w:rsidR="00384400" w:rsidRDefault="00B22B1B">
      <w:pPr>
        <w:widowControl/>
        <w:numPr>
          <w:ilvl w:val="0"/>
          <w:numId w:val="1"/>
        </w:numPr>
        <w:spacing w:line="480" w:lineRule="exact"/>
        <w:rPr>
          <w:rFonts w:ascii="標楷體" w:eastAsia="標楷體" w:hAnsi="標楷體"/>
          <w:sz w:val="28"/>
        </w:rPr>
      </w:pPr>
      <w:r>
        <w:rPr>
          <w:rFonts w:ascii="標楷體" w:eastAsia="標楷體" w:hAnsi="標楷體"/>
          <w:sz w:val="28"/>
        </w:rPr>
        <w:t>缺乏系統性計畫解決各種形式之刻板印象。</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結論性建議：</w:t>
      </w:r>
    </w:p>
    <w:p w:rsidR="00384400" w:rsidRDefault="00B22B1B">
      <w:pPr>
        <w:widowControl/>
        <w:numPr>
          <w:ilvl w:val="0"/>
          <w:numId w:val="2"/>
        </w:numPr>
        <w:spacing w:line="480" w:lineRule="exact"/>
      </w:pPr>
      <w:r>
        <w:rPr>
          <w:rFonts w:ascii="標楷體" w:eastAsia="標楷體" w:hAnsi="標楷體"/>
          <w:sz w:val="28"/>
        </w:rPr>
        <w:t>採取全面性策略</w:t>
      </w:r>
      <w:r>
        <w:rPr>
          <w:rFonts w:ascii="標楷體" w:eastAsia="標楷體" w:hAnsi="標楷體"/>
          <w:sz w:val="28"/>
        </w:rPr>
        <w:t>/</w:t>
      </w:r>
      <w:r>
        <w:rPr>
          <w:rFonts w:ascii="標楷體" w:eastAsia="標楷體" w:hAnsi="標楷體"/>
          <w:sz w:val="28"/>
        </w:rPr>
        <w:t>政策，</w:t>
      </w:r>
      <w:r>
        <w:rPr>
          <w:rFonts w:ascii="標楷體" w:eastAsia="標楷體" w:hAnsi="標楷體"/>
          <w:b/>
          <w:sz w:val="28"/>
        </w:rPr>
        <w:t>修正或消除歧視女性的父權態度和性別刻板印象</w:t>
      </w:r>
      <w:r>
        <w:rPr>
          <w:rFonts w:ascii="標楷體" w:eastAsia="標楷體" w:hAnsi="標楷體"/>
          <w:sz w:val="28"/>
        </w:rPr>
        <w:t>。</w:t>
      </w:r>
    </w:p>
    <w:p w:rsidR="00384400" w:rsidRDefault="00B22B1B">
      <w:pPr>
        <w:widowControl/>
        <w:numPr>
          <w:ilvl w:val="0"/>
          <w:numId w:val="2"/>
        </w:numPr>
        <w:spacing w:line="480" w:lineRule="exact"/>
        <w:rPr>
          <w:rFonts w:ascii="標楷體" w:eastAsia="標楷體" w:hAnsi="標楷體"/>
          <w:sz w:val="28"/>
        </w:rPr>
      </w:pPr>
      <w:r>
        <w:rPr>
          <w:rFonts w:ascii="標楷體" w:eastAsia="標楷體" w:hAnsi="標楷體"/>
          <w:sz w:val="28"/>
        </w:rPr>
        <w:t>鼓勵女孩和男孩於非傳統領域接受教育和求職之計畫。</w:t>
      </w:r>
    </w:p>
    <w:p w:rsidR="00384400" w:rsidRDefault="00B22B1B">
      <w:pPr>
        <w:widowControl/>
        <w:numPr>
          <w:ilvl w:val="0"/>
          <w:numId w:val="2"/>
        </w:numPr>
        <w:spacing w:line="480" w:lineRule="exact"/>
      </w:pPr>
      <w:r>
        <w:rPr>
          <w:rFonts w:ascii="標楷體" w:eastAsia="標楷體" w:hAnsi="標楷體"/>
          <w:sz w:val="28"/>
        </w:rPr>
        <w:t>加強</w:t>
      </w:r>
      <w:r>
        <w:rPr>
          <w:rFonts w:ascii="標楷體" w:eastAsia="標楷體" w:hAnsi="標楷體"/>
          <w:b/>
          <w:sz w:val="28"/>
        </w:rPr>
        <w:t>媒體及廣告中正面、非刻板印象之女性描繪</w:t>
      </w:r>
      <w:r>
        <w:rPr>
          <w:rFonts w:ascii="標楷體" w:eastAsia="標楷體" w:hAnsi="標楷體"/>
          <w:sz w:val="28"/>
        </w:rPr>
        <w:t>。</w:t>
      </w:r>
    </w:p>
    <w:p w:rsidR="00384400" w:rsidRDefault="00384400">
      <w:pPr>
        <w:widowControl/>
        <w:spacing w:line="480" w:lineRule="exact"/>
        <w:rPr>
          <w:rFonts w:ascii="標楷體" w:eastAsia="標楷體" w:hAnsi="標楷體"/>
          <w:b/>
          <w:bCs/>
          <w:sz w:val="28"/>
        </w:rPr>
      </w:pPr>
    </w:p>
    <w:p w:rsidR="00384400" w:rsidRDefault="00B22B1B">
      <w:pPr>
        <w:widowControl/>
        <w:spacing w:line="480" w:lineRule="exact"/>
        <w:rPr>
          <w:rFonts w:ascii="標楷體" w:eastAsia="標楷體" w:hAnsi="標楷體"/>
          <w:b/>
          <w:bCs/>
          <w:sz w:val="28"/>
        </w:rPr>
      </w:pPr>
      <w:r>
        <w:rPr>
          <w:rFonts w:ascii="標楷體" w:eastAsia="標楷體" w:hAnsi="標楷體"/>
          <w:b/>
          <w:bCs/>
          <w:sz w:val="28"/>
        </w:rPr>
        <w:t>第</w:t>
      </w:r>
      <w:r>
        <w:rPr>
          <w:rFonts w:ascii="標楷體" w:eastAsia="標楷體" w:hAnsi="標楷體"/>
          <w:b/>
          <w:bCs/>
          <w:sz w:val="28"/>
        </w:rPr>
        <w:t>28</w:t>
      </w:r>
      <w:r>
        <w:rPr>
          <w:rFonts w:ascii="標楷體" w:eastAsia="標楷體" w:hAnsi="標楷體"/>
          <w:b/>
          <w:bCs/>
          <w:sz w:val="28"/>
        </w:rPr>
        <w:t>、</w:t>
      </w:r>
      <w:r>
        <w:rPr>
          <w:rFonts w:ascii="標楷體" w:eastAsia="標楷體" w:hAnsi="標楷體"/>
          <w:b/>
          <w:bCs/>
          <w:sz w:val="28"/>
        </w:rPr>
        <w:t>29</w:t>
      </w:r>
      <w:r>
        <w:rPr>
          <w:rFonts w:ascii="標楷體" w:eastAsia="標楷體" w:hAnsi="標楷體"/>
          <w:b/>
          <w:bCs/>
          <w:sz w:val="28"/>
        </w:rPr>
        <w:t>點</w:t>
      </w:r>
      <w:r>
        <w:rPr>
          <w:rFonts w:ascii="標楷體" w:eastAsia="標楷體" w:hAnsi="標楷體"/>
          <w:b/>
          <w:bCs/>
          <w:sz w:val="28"/>
        </w:rPr>
        <w:t>-</w:t>
      </w:r>
      <w:r>
        <w:rPr>
          <w:rFonts w:ascii="標楷體" w:eastAsia="標楷體" w:hAnsi="標楷體"/>
          <w:b/>
          <w:bCs/>
          <w:sz w:val="28"/>
        </w:rPr>
        <w:t>對女性基於性別的暴力</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結論性意見：</w:t>
      </w:r>
    </w:p>
    <w:p w:rsidR="00384400" w:rsidRDefault="00B22B1B">
      <w:pPr>
        <w:widowControl/>
        <w:numPr>
          <w:ilvl w:val="0"/>
          <w:numId w:val="3"/>
        </w:numPr>
        <w:spacing w:line="480" w:lineRule="exact"/>
        <w:rPr>
          <w:rFonts w:ascii="標楷體" w:eastAsia="標楷體" w:hAnsi="標楷體"/>
          <w:sz w:val="28"/>
        </w:rPr>
      </w:pPr>
      <w:r>
        <w:rPr>
          <w:rFonts w:ascii="標楷體" w:eastAsia="標楷體" w:hAnsi="標楷體"/>
          <w:sz w:val="28"/>
        </w:rPr>
        <w:t>基於性別對女性的暴力行為之比率居高不下，包括身體、心理、性、經濟方面之暴力及發生於網路、其他數位環境之暴力形式。</w:t>
      </w:r>
    </w:p>
    <w:p w:rsidR="00384400" w:rsidRDefault="00B22B1B">
      <w:pPr>
        <w:widowControl/>
        <w:numPr>
          <w:ilvl w:val="0"/>
          <w:numId w:val="3"/>
        </w:numPr>
        <w:spacing w:line="480" w:lineRule="exact"/>
        <w:rPr>
          <w:rFonts w:ascii="標楷體" w:eastAsia="標楷體" w:hAnsi="標楷體"/>
          <w:sz w:val="28"/>
        </w:rPr>
      </w:pPr>
      <w:r>
        <w:rPr>
          <w:rFonts w:ascii="標楷體" w:eastAsia="標楷體" w:hAnsi="標楷體"/>
          <w:sz w:val="28"/>
        </w:rPr>
        <w:t>據傳有大量專業司法人員並不認為家暴是性別議題。亦關切《家庭暴力防治法》中未具體提及針對女性之家暴。</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結論性建議：</w:t>
      </w:r>
    </w:p>
    <w:p w:rsidR="00384400" w:rsidRDefault="00B22B1B">
      <w:pPr>
        <w:widowControl/>
        <w:numPr>
          <w:ilvl w:val="0"/>
          <w:numId w:val="4"/>
        </w:numPr>
        <w:spacing w:line="480" w:lineRule="exact"/>
      </w:pPr>
      <w:r>
        <w:rPr>
          <w:rFonts w:ascii="標楷體" w:eastAsia="標楷體" w:hAnsi="標楷體"/>
          <w:sz w:val="28"/>
        </w:rPr>
        <w:t>鼓勵</w:t>
      </w:r>
      <w:r>
        <w:rPr>
          <w:rFonts w:ascii="標楷體" w:eastAsia="標楷體" w:hAnsi="標楷體"/>
          <w:b/>
          <w:sz w:val="28"/>
        </w:rPr>
        <w:t>舉報暴力事件</w:t>
      </w:r>
      <w:r>
        <w:rPr>
          <w:rFonts w:ascii="標楷體" w:eastAsia="標楷體" w:hAnsi="標楷體"/>
          <w:sz w:val="28"/>
        </w:rPr>
        <w:t>確保有效調查所有通報事件，並起訴及適當懲罰犯罪者。</w:t>
      </w:r>
    </w:p>
    <w:p w:rsidR="00384400" w:rsidRDefault="00B22B1B">
      <w:pPr>
        <w:widowControl/>
        <w:numPr>
          <w:ilvl w:val="0"/>
          <w:numId w:val="4"/>
        </w:numPr>
        <w:spacing w:line="480" w:lineRule="exact"/>
        <w:rPr>
          <w:rFonts w:ascii="標楷體" w:eastAsia="標楷體" w:hAnsi="標楷體"/>
          <w:sz w:val="28"/>
        </w:rPr>
      </w:pPr>
      <w:r>
        <w:rPr>
          <w:rFonts w:ascii="標楷體" w:eastAsia="標楷體" w:hAnsi="標楷體"/>
          <w:sz w:val="28"/>
        </w:rPr>
        <w:t>確保受害者之法律訴訟、保護及支持措施皆尊重並增強其自主性。</w:t>
      </w:r>
    </w:p>
    <w:p w:rsidR="00384400" w:rsidRDefault="00B22B1B">
      <w:pPr>
        <w:widowControl/>
        <w:numPr>
          <w:ilvl w:val="0"/>
          <w:numId w:val="4"/>
        </w:numPr>
        <w:spacing w:line="480" w:lineRule="exact"/>
      </w:pPr>
      <w:r>
        <w:rPr>
          <w:rFonts w:ascii="標楷體" w:eastAsia="標楷體" w:hAnsi="標楷體"/>
          <w:sz w:val="28"/>
        </w:rPr>
        <w:t>提升社會大眾</w:t>
      </w:r>
      <w:r>
        <w:rPr>
          <w:rFonts w:ascii="標楷體" w:eastAsia="標楷體" w:hAnsi="標楷體"/>
          <w:b/>
          <w:sz w:val="28"/>
        </w:rPr>
        <w:t>網路暴力認知</w:t>
      </w:r>
      <w:r>
        <w:rPr>
          <w:rFonts w:ascii="標楷體" w:eastAsia="標楷體" w:hAnsi="標楷體"/>
          <w:sz w:val="28"/>
        </w:rPr>
        <w:t>並</w:t>
      </w:r>
      <w:r>
        <w:rPr>
          <w:rFonts w:ascii="標楷體" w:eastAsia="標楷體" w:hAnsi="標楷體"/>
          <w:sz w:val="28"/>
        </w:rPr>
        <w:t>針對仇恨言論制定監管機制及補救作法。</w:t>
      </w:r>
    </w:p>
    <w:p w:rsidR="00384400" w:rsidRDefault="00B22B1B">
      <w:pPr>
        <w:widowControl/>
        <w:numPr>
          <w:ilvl w:val="0"/>
          <w:numId w:val="4"/>
        </w:numPr>
        <w:spacing w:line="480" w:lineRule="exact"/>
        <w:rPr>
          <w:rFonts w:ascii="標楷體" w:eastAsia="標楷體" w:hAnsi="標楷體"/>
          <w:sz w:val="28"/>
        </w:rPr>
      </w:pPr>
      <w:r>
        <w:rPr>
          <w:rFonts w:ascii="標楷體" w:eastAsia="標楷體" w:hAnsi="標楷體"/>
          <w:sz w:val="28"/>
        </w:rPr>
        <w:t>修正《家庭暴力防治法》明確指出基於性別對女性暴力行為。</w:t>
      </w:r>
    </w:p>
    <w:p w:rsidR="00384400" w:rsidRDefault="00384400">
      <w:pPr>
        <w:widowControl/>
        <w:spacing w:line="480" w:lineRule="exact"/>
        <w:rPr>
          <w:rFonts w:ascii="標楷體" w:eastAsia="標楷體" w:hAnsi="標楷體"/>
          <w:sz w:val="28"/>
        </w:rPr>
      </w:pPr>
    </w:p>
    <w:p w:rsidR="00384400" w:rsidRDefault="00B22B1B">
      <w:pPr>
        <w:widowControl/>
        <w:spacing w:line="480" w:lineRule="exact"/>
        <w:rPr>
          <w:rFonts w:ascii="標楷體" w:eastAsia="標楷體" w:hAnsi="標楷體"/>
          <w:b/>
          <w:bCs/>
          <w:sz w:val="28"/>
        </w:rPr>
      </w:pPr>
      <w:r>
        <w:rPr>
          <w:rFonts w:ascii="標楷體" w:eastAsia="標楷體" w:hAnsi="標楷體"/>
          <w:b/>
          <w:bCs/>
          <w:sz w:val="28"/>
        </w:rPr>
        <w:t>第</w:t>
      </w:r>
      <w:r>
        <w:rPr>
          <w:rFonts w:ascii="標楷體" w:eastAsia="標楷體" w:hAnsi="標楷體"/>
          <w:b/>
          <w:bCs/>
          <w:sz w:val="28"/>
        </w:rPr>
        <w:t>46</w:t>
      </w:r>
      <w:r>
        <w:rPr>
          <w:rFonts w:ascii="標楷體" w:eastAsia="標楷體" w:hAnsi="標楷體"/>
          <w:b/>
          <w:bCs/>
          <w:sz w:val="28"/>
        </w:rPr>
        <w:t>、</w:t>
      </w:r>
      <w:r>
        <w:rPr>
          <w:rFonts w:ascii="標楷體" w:eastAsia="標楷體" w:hAnsi="標楷體"/>
          <w:b/>
          <w:bCs/>
          <w:sz w:val="28"/>
        </w:rPr>
        <w:t>47</w:t>
      </w:r>
      <w:r>
        <w:rPr>
          <w:rFonts w:ascii="標楷體" w:eastAsia="標楷體" w:hAnsi="標楷體"/>
          <w:b/>
          <w:bCs/>
          <w:sz w:val="28"/>
        </w:rPr>
        <w:t>點</w:t>
      </w:r>
      <w:r>
        <w:rPr>
          <w:rFonts w:ascii="標楷體" w:eastAsia="標楷體" w:hAnsi="標楷體"/>
          <w:b/>
          <w:bCs/>
          <w:sz w:val="28"/>
        </w:rPr>
        <w:t>-</w:t>
      </w:r>
      <w:r>
        <w:rPr>
          <w:rFonts w:ascii="標楷體" w:eastAsia="標楷體" w:hAnsi="標楷體"/>
          <w:b/>
          <w:bCs/>
          <w:sz w:val="28"/>
        </w:rPr>
        <w:t>性騷擾、性侵害、性霸凌</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結論性意見：</w:t>
      </w:r>
    </w:p>
    <w:p w:rsidR="00384400" w:rsidRDefault="00B22B1B">
      <w:pPr>
        <w:widowControl/>
        <w:numPr>
          <w:ilvl w:val="0"/>
          <w:numId w:val="5"/>
        </w:numPr>
        <w:spacing w:line="480" w:lineRule="exact"/>
        <w:rPr>
          <w:rFonts w:ascii="標楷體" w:eastAsia="標楷體" w:hAnsi="標楷體"/>
          <w:sz w:val="28"/>
        </w:rPr>
      </w:pPr>
      <w:r>
        <w:rPr>
          <w:rFonts w:ascii="標楷體" w:eastAsia="標楷體" w:hAnsi="標楷體"/>
          <w:sz w:val="28"/>
        </w:rPr>
        <w:t>校園中持續發生性騷擾、性侵害和性霸凌尤其是針對女孩、身心障礙、同性戀、雙性戀、跨性別、雙性人及外國籍學生等。</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結論性建議：</w:t>
      </w:r>
    </w:p>
    <w:p w:rsidR="00384400" w:rsidRDefault="00B22B1B">
      <w:pPr>
        <w:widowControl/>
        <w:numPr>
          <w:ilvl w:val="0"/>
          <w:numId w:val="6"/>
        </w:numPr>
        <w:spacing w:line="480" w:lineRule="exact"/>
      </w:pPr>
      <w:r>
        <w:rPr>
          <w:rFonts w:ascii="標楷體" w:eastAsia="標楷體" w:hAnsi="標楷體"/>
          <w:sz w:val="28"/>
        </w:rPr>
        <w:lastRenderedPageBreak/>
        <w:t>政府應強化政策措施和教育計畫以</w:t>
      </w:r>
      <w:r>
        <w:rPr>
          <w:rFonts w:ascii="標楷體" w:eastAsia="標楷體" w:hAnsi="標楷體"/>
          <w:b/>
          <w:sz w:val="28"/>
        </w:rPr>
        <w:t>防止校園性騷擾、性侵害和性霸凌</w:t>
      </w:r>
      <w:r>
        <w:rPr>
          <w:rFonts w:ascii="標楷體" w:eastAsia="標楷體" w:hAnsi="標楷體"/>
          <w:sz w:val="28"/>
        </w:rPr>
        <w:t>。</w:t>
      </w:r>
    </w:p>
    <w:p w:rsidR="00384400" w:rsidRDefault="00B22B1B">
      <w:pPr>
        <w:widowControl/>
        <w:numPr>
          <w:ilvl w:val="0"/>
          <w:numId w:val="6"/>
        </w:numPr>
        <w:spacing w:line="480" w:lineRule="exact"/>
        <w:rPr>
          <w:rFonts w:ascii="標楷體" w:eastAsia="標楷體" w:hAnsi="標楷體"/>
          <w:sz w:val="28"/>
        </w:rPr>
      </w:pPr>
      <w:r>
        <w:rPr>
          <w:rFonts w:ascii="標楷體" w:eastAsia="標楷體" w:hAnsi="標楷體"/>
          <w:sz w:val="28"/>
        </w:rPr>
        <w:t>建議定期調查與分析並採取聚焦且客製化的積極政策措施解決問題。</w:t>
      </w:r>
    </w:p>
    <w:p w:rsidR="00384400" w:rsidRDefault="00384400">
      <w:pPr>
        <w:widowControl/>
        <w:spacing w:line="480" w:lineRule="exact"/>
        <w:rPr>
          <w:rFonts w:ascii="標楷體" w:eastAsia="標楷體" w:hAnsi="標楷體"/>
          <w:sz w:val="28"/>
        </w:rPr>
      </w:pPr>
    </w:p>
    <w:p w:rsidR="00384400" w:rsidRDefault="00B22B1B">
      <w:pPr>
        <w:widowControl/>
        <w:spacing w:line="480" w:lineRule="exact"/>
        <w:rPr>
          <w:rFonts w:ascii="標楷體" w:eastAsia="標楷體" w:hAnsi="標楷體"/>
          <w:b/>
          <w:bCs/>
          <w:sz w:val="28"/>
        </w:rPr>
      </w:pPr>
      <w:r>
        <w:rPr>
          <w:rFonts w:ascii="標楷體" w:eastAsia="標楷體" w:hAnsi="標楷體"/>
          <w:b/>
          <w:bCs/>
          <w:sz w:val="28"/>
        </w:rPr>
        <w:t>第</w:t>
      </w:r>
      <w:r>
        <w:rPr>
          <w:rFonts w:ascii="標楷體" w:eastAsia="標楷體" w:hAnsi="標楷體"/>
          <w:b/>
          <w:bCs/>
          <w:sz w:val="28"/>
        </w:rPr>
        <w:t>48</w:t>
      </w:r>
      <w:r>
        <w:rPr>
          <w:rFonts w:ascii="標楷體" w:eastAsia="標楷體" w:hAnsi="標楷體"/>
          <w:b/>
          <w:bCs/>
          <w:sz w:val="28"/>
        </w:rPr>
        <w:t>、</w:t>
      </w:r>
      <w:r>
        <w:rPr>
          <w:rFonts w:ascii="標楷體" w:eastAsia="標楷體" w:hAnsi="標楷體"/>
          <w:b/>
          <w:bCs/>
          <w:sz w:val="28"/>
        </w:rPr>
        <w:t>49</w:t>
      </w:r>
      <w:r>
        <w:rPr>
          <w:rFonts w:ascii="標楷體" w:eastAsia="標楷體" w:hAnsi="標楷體"/>
          <w:b/>
          <w:bCs/>
          <w:sz w:val="28"/>
        </w:rPr>
        <w:t>點</w:t>
      </w:r>
      <w:r>
        <w:rPr>
          <w:rFonts w:ascii="標楷體" w:eastAsia="標楷體" w:hAnsi="標楷體"/>
          <w:b/>
          <w:bCs/>
          <w:sz w:val="28"/>
        </w:rPr>
        <w:t>-</w:t>
      </w:r>
      <w:r>
        <w:rPr>
          <w:rFonts w:ascii="標楷體" w:eastAsia="標楷體" w:hAnsi="標楷體"/>
          <w:b/>
          <w:bCs/>
          <w:sz w:val="28"/>
        </w:rPr>
        <w:t>懷孕女孩和年輕母親之教育</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結論性意見：</w:t>
      </w:r>
    </w:p>
    <w:p w:rsidR="00384400" w:rsidRDefault="00B22B1B">
      <w:pPr>
        <w:widowControl/>
        <w:numPr>
          <w:ilvl w:val="0"/>
          <w:numId w:val="7"/>
        </w:numPr>
        <w:spacing w:line="480" w:lineRule="exact"/>
        <w:rPr>
          <w:rFonts w:ascii="標楷體" w:eastAsia="標楷體" w:hAnsi="標楷體"/>
          <w:sz w:val="28"/>
        </w:rPr>
      </w:pPr>
      <w:r>
        <w:rPr>
          <w:rFonts w:ascii="標楷體" w:eastAsia="標楷體" w:hAnsi="標楷體"/>
          <w:sz w:val="28"/>
        </w:rPr>
        <w:t>2015</w:t>
      </w:r>
      <w:r>
        <w:rPr>
          <w:rFonts w:ascii="標楷體" w:eastAsia="標楷體" w:hAnsi="標楷體"/>
          <w:sz w:val="28"/>
        </w:rPr>
        <w:t>年雖修正《學生懷孕受教權維護及輔導協助要點》然</w:t>
      </w:r>
      <w:r>
        <w:rPr>
          <w:rFonts w:ascii="標楷體" w:eastAsia="標楷體" w:hAnsi="標楷體"/>
          <w:sz w:val="28"/>
        </w:rPr>
        <w:t>而據悉學校無法滿足懷孕女孩及年輕母親之需求。</w:t>
      </w:r>
    </w:p>
    <w:p w:rsidR="00384400" w:rsidRDefault="00B22B1B">
      <w:pPr>
        <w:widowControl/>
        <w:spacing w:line="480" w:lineRule="exact"/>
        <w:rPr>
          <w:rFonts w:ascii="標楷體" w:eastAsia="標楷體" w:hAnsi="標楷體"/>
          <w:sz w:val="28"/>
        </w:rPr>
      </w:pPr>
      <w:r>
        <w:rPr>
          <w:rFonts w:ascii="標楷體" w:eastAsia="標楷體" w:hAnsi="標楷體"/>
          <w:sz w:val="28"/>
        </w:rPr>
        <w:t>結論性建議：</w:t>
      </w:r>
    </w:p>
    <w:p w:rsidR="00384400" w:rsidRDefault="00B22B1B">
      <w:pPr>
        <w:widowControl/>
        <w:numPr>
          <w:ilvl w:val="0"/>
          <w:numId w:val="8"/>
        </w:numPr>
        <w:spacing w:line="480" w:lineRule="exact"/>
      </w:pPr>
      <w:r>
        <w:rPr>
          <w:rFonts w:ascii="標楷體" w:eastAsia="標楷體" w:hAnsi="標楷體"/>
          <w:sz w:val="28"/>
        </w:rPr>
        <w:t>建議政府採取措施來減輕懷孕學生和年輕母親之負擔，如</w:t>
      </w:r>
      <w:r>
        <w:rPr>
          <w:rFonts w:ascii="標楷體" w:eastAsia="標楷體" w:hAnsi="標楷體"/>
          <w:b/>
          <w:sz w:val="28"/>
        </w:rPr>
        <w:t>提供重考選項、滿足育兒童照顧需求、增加獎學金或其他適當協助</w:t>
      </w:r>
      <w:r>
        <w:rPr>
          <w:rFonts w:ascii="標楷體" w:eastAsia="標楷體" w:hAnsi="標楷體"/>
          <w:sz w:val="28"/>
        </w:rPr>
        <w:t>。</w:t>
      </w:r>
    </w:p>
    <w:p w:rsidR="00384400" w:rsidRDefault="00B22B1B">
      <w:pPr>
        <w:widowControl/>
        <w:numPr>
          <w:ilvl w:val="0"/>
          <w:numId w:val="8"/>
        </w:numPr>
        <w:spacing w:line="480" w:lineRule="exact"/>
        <w:rPr>
          <w:rFonts w:ascii="標楷體" w:eastAsia="標楷體" w:hAnsi="標楷體"/>
          <w:sz w:val="28"/>
        </w:rPr>
      </w:pPr>
      <w:r>
        <w:rPr>
          <w:rFonts w:ascii="標楷體" w:eastAsia="標楷體" w:hAnsi="標楷體"/>
          <w:sz w:val="28"/>
        </w:rPr>
        <w:t>建議政府檢視該《協助要點》修訂後之效益並視需要增加資金和重點資源配置。</w:t>
      </w:r>
    </w:p>
    <w:p w:rsidR="00384400" w:rsidRDefault="00B22B1B">
      <w:pPr>
        <w:spacing w:line="480" w:lineRule="exact"/>
      </w:pPr>
      <w:r>
        <w:rPr>
          <w:rFonts w:ascii="標楷體" w:eastAsia="標楷體" w:hAnsi="標楷體"/>
          <w:sz w:val="28"/>
          <w:szCs w:val="32"/>
        </w:rPr>
        <w:t xml:space="preserve">　　　</w:t>
      </w:r>
    </w:p>
    <w:sectPr w:rsidR="00384400" w:rsidSect="00384400">
      <w:pgSz w:w="11906" w:h="16838"/>
      <w:pgMar w:top="1134" w:right="1134" w:bottom="1134" w:left="1134"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1B" w:rsidRDefault="00B22B1B" w:rsidP="00384400">
      <w:r>
        <w:separator/>
      </w:r>
    </w:p>
  </w:endnote>
  <w:endnote w:type="continuationSeparator" w:id="0">
    <w:p w:rsidR="00B22B1B" w:rsidRDefault="00B22B1B" w:rsidP="003844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1B" w:rsidRDefault="00B22B1B" w:rsidP="00384400">
      <w:r w:rsidRPr="00384400">
        <w:rPr>
          <w:color w:val="000000"/>
        </w:rPr>
        <w:separator/>
      </w:r>
    </w:p>
  </w:footnote>
  <w:footnote w:type="continuationSeparator" w:id="0">
    <w:p w:rsidR="00B22B1B" w:rsidRDefault="00B22B1B" w:rsidP="00384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EA1"/>
    <w:multiLevelType w:val="multilevel"/>
    <w:tmpl w:val="CB42252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28477195"/>
    <w:multiLevelType w:val="multilevel"/>
    <w:tmpl w:val="44DAAA9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2F174925"/>
    <w:multiLevelType w:val="multilevel"/>
    <w:tmpl w:val="98E656C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31E8582C"/>
    <w:multiLevelType w:val="multilevel"/>
    <w:tmpl w:val="D200DE6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nsid w:val="35257EFA"/>
    <w:multiLevelType w:val="multilevel"/>
    <w:tmpl w:val="48903E7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63FA48B8"/>
    <w:multiLevelType w:val="multilevel"/>
    <w:tmpl w:val="DC38E6B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64CA533B"/>
    <w:multiLevelType w:val="multilevel"/>
    <w:tmpl w:val="B0426D9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nsid w:val="7F7446AA"/>
    <w:multiLevelType w:val="multilevel"/>
    <w:tmpl w:val="61985E1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84400"/>
    <w:rsid w:val="00384400"/>
    <w:rsid w:val="00405725"/>
    <w:rsid w:val="00B22B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4400"/>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384400"/>
    <w:rPr>
      <w:sz w:val="18"/>
      <w:szCs w:val="18"/>
    </w:rPr>
  </w:style>
  <w:style w:type="paragraph" w:styleId="a4">
    <w:name w:val="annotation text"/>
    <w:basedOn w:val="a"/>
    <w:rsid w:val="00384400"/>
  </w:style>
  <w:style w:type="character" w:customStyle="1" w:styleId="a5">
    <w:name w:val="註解文字 字元"/>
    <w:basedOn w:val="a0"/>
    <w:rsid w:val="00384400"/>
  </w:style>
  <w:style w:type="paragraph" w:styleId="a6">
    <w:name w:val="annotation subject"/>
    <w:basedOn w:val="a4"/>
    <w:next w:val="a4"/>
    <w:rsid w:val="00384400"/>
    <w:rPr>
      <w:b/>
      <w:bCs/>
    </w:rPr>
  </w:style>
  <w:style w:type="character" w:customStyle="1" w:styleId="a7">
    <w:name w:val="註解主旨 字元"/>
    <w:basedOn w:val="a5"/>
    <w:rsid w:val="00384400"/>
    <w:rPr>
      <w:b/>
      <w:bCs/>
    </w:rPr>
  </w:style>
  <w:style w:type="paragraph" w:styleId="a8">
    <w:name w:val="Balloon Text"/>
    <w:basedOn w:val="a"/>
    <w:rsid w:val="00384400"/>
    <w:rPr>
      <w:rFonts w:ascii="Cambria" w:hAnsi="Cambria"/>
      <w:sz w:val="18"/>
      <w:szCs w:val="18"/>
    </w:rPr>
  </w:style>
  <w:style w:type="character" w:customStyle="1" w:styleId="a9">
    <w:name w:val="註解方塊文字 字元"/>
    <w:basedOn w:val="a0"/>
    <w:rsid w:val="00384400"/>
    <w:rPr>
      <w:rFonts w:ascii="Cambria" w:eastAsia="新細明體" w:hAnsi="Cambria" w:cs="Times New Roman"/>
      <w:sz w:val="18"/>
      <w:szCs w:val="18"/>
    </w:rPr>
  </w:style>
  <w:style w:type="paragraph" w:styleId="aa">
    <w:name w:val="header"/>
    <w:basedOn w:val="a"/>
    <w:rsid w:val="00384400"/>
    <w:pPr>
      <w:tabs>
        <w:tab w:val="center" w:pos="4153"/>
        <w:tab w:val="right" w:pos="8306"/>
      </w:tabs>
      <w:snapToGrid w:val="0"/>
    </w:pPr>
    <w:rPr>
      <w:sz w:val="20"/>
      <w:szCs w:val="20"/>
    </w:rPr>
  </w:style>
  <w:style w:type="character" w:customStyle="1" w:styleId="ab">
    <w:name w:val="頁首 字元"/>
    <w:basedOn w:val="a0"/>
    <w:rsid w:val="00384400"/>
    <w:rPr>
      <w:sz w:val="20"/>
      <w:szCs w:val="20"/>
    </w:rPr>
  </w:style>
  <w:style w:type="paragraph" w:styleId="ac">
    <w:name w:val="footer"/>
    <w:basedOn w:val="a"/>
    <w:rsid w:val="00384400"/>
    <w:pPr>
      <w:tabs>
        <w:tab w:val="center" w:pos="4153"/>
        <w:tab w:val="right" w:pos="8306"/>
      </w:tabs>
      <w:snapToGrid w:val="0"/>
    </w:pPr>
    <w:rPr>
      <w:sz w:val="20"/>
      <w:szCs w:val="20"/>
    </w:rPr>
  </w:style>
  <w:style w:type="character" w:customStyle="1" w:styleId="ad">
    <w:name w:val="頁尾 字元"/>
    <w:basedOn w:val="a0"/>
    <w:rsid w:val="0038440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327</Words>
  <Characters>1868</Characters>
  <Application>Microsoft Office Word</Application>
  <DocSecurity>0</DocSecurity>
  <Lines>15</Lines>
  <Paragraphs>4</Paragraphs>
  <ScaleCrop>false</ScaleCrop>
  <Company>C.M.T</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2022-02-21T23:55:00Z</cp:lastPrinted>
  <dcterms:created xsi:type="dcterms:W3CDTF">2022-03-07T04:37:00Z</dcterms:created>
  <dcterms:modified xsi:type="dcterms:W3CDTF">2022-03-07T04:37:00Z</dcterms:modified>
</cp:coreProperties>
</file>