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67" w:rsidRDefault="00CF3A89" w:rsidP="001F5A33">
      <w:pPr>
        <w:spacing w:line="360" w:lineRule="auto"/>
        <w:jc w:val="center"/>
        <w:rPr>
          <w:rFonts w:ascii="標楷體" w:eastAsia="標楷體" w:hAnsi="標楷體"/>
          <w:b/>
          <w:szCs w:val="24"/>
        </w:rPr>
      </w:pPr>
      <w:bookmarkStart w:id="0" w:name="_GoBack"/>
      <w:bookmarkEnd w:id="0"/>
      <w:r>
        <w:rPr>
          <w:rFonts w:ascii="標楷體" w:eastAsia="標楷體" w:hAnsi="標楷體" w:hint="eastAsia"/>
          <w:b/>
          <w:sz w:val="32"/>
          <w:szCs w:val="28"/>
        </w:rPr>
        <w:t>各</w:t>
      </w:r>
      <w:r w:rsidR="00B1557D" w:rsidRPr="00B1557D">
        <w:rPr>
          <w:rFonts w:ascii="標楷體" w:eastAsia="標楷體" w:hAnsi="標楷體" w:hint="eastAsia"/>
          <w:b/>
          <w:sz w:val="32"/>
          <w:szCs w:val="28"/>
        </w:rPr>
        <w:t>機關員工福利措施推動原則</w:t>
      </w:r>
    </w:p>
    <w:p w:rsidR="00B1557D" w:rsidRPr="00B1557D" w:rsidRDefault="00B1557D" w:rsidP="001F5A33">
      <w:pPr>
        <w:spacing w:line="360" w:lineRule="auto"/>
        <w:jc w:val="right"/>
        <w:rPr>
          <w:rFonts w:ascii="標楷體" w:eastAsia="標楷體" w:hAnsi="標楷體"/>
          <w:szCs w:val="24"/>
        </w:rPr>
      </w:pPr>
      <w:r w:rsidRPr="00B1557D">
        <w:rPr>
          <w:rFonts w:ascii="標楷體" w:eastAsia="標楷體" w:hAnsi="標楷體" w:hint="eastAsia"/>
          <w:szCs w:val="24"/>
        </w:rPr>
        <w:t>行政院105年</w:t>
      </w:r>
      <w:r w:rsidR="00826F12">
        <w:rPr>
          <w:rFonts w:ascii="標楷體" w:eastAsia="標楷體" w:hAnsi="標楷體" w:hint="eastAsia"/>
          <w:szCs w:val="24"/>
        </w:rPr>
        <w:t>4</w:t>
      </w:r>
      <w:r w:rsidRPr="00B1557D">
        <w:rPr>
          <w:rFonts w:ascii="標楷體" w:eastAsia="標楷體" w:hAnsi="標楷體" w:hint="eastAsia"/>
          <w:szCs w:val="24"/>
        </w:rPr>
        <w:t>月</w:t>
      </w:r>
      <w:r w:rsidR="00826F12">
        <w:rPr>
          <w:rFonts w:ascii="標楷體" w:eastAsia="標楷體" w:hAnsi="標楷體" w:hint="eastAsia"/>
          <w:szCs w:val="24"/>
        </w:rPr>
        <w:t>26</w:t>
      </w:r>
      <w:r w:rsidRPr="00B1557D">
        <w:rPr>
          <w:rFonts w:ascii="標楷體" w:eastAsia="標楷體" w:hAnsi="標楷體" w:hint="eastAsia"/>
          <w:szCs w:val="24"/>
        </w:rPr>
        <w:t>日院授人給字第</w:t>
      </w:r>
      <w:r w:rsidR="00826F12">
        <w:rPr>
          <w:rFonts w:ascii="標楷體" w:eastAsia="標楷體" w:hAnsi="標楷體" w:hint="eastAsia"/>
          <w:szCs w:val="24"/>
        </w:rPr>
        <w:t>1050039810</w:t>
      </w:r>
      <w:r w:rsidRPr="00B1557D">
        <w:rPr>
          <w:rFonts w:ascii="標楷體" w:eastAsia="標楷體" w:hAnsi="標楷體" w:hint="eastAsia"/>
          <w:szCs w:val="24"/>
        </w:rPr>
        <w:t>號函訂定</w:t>
      </w:r>
    </w:p>
    <w:p w:rsidR="00B1557D" w:rsidRDefault="007E69FB" w:rsidP="001F5A33">
      <w:pPr>
        <w:pStyle w:val="a7"/>
        <w:numPr>
          <w:ilvl w:val="0"/>
          <w:numId w:val="1"/>
        </w:numPr>
        <w:tabs>
          <w:tab w:val="left" w:pos="630"/>
        </w:tabs>
        <w:spacing w:line="360" w:lineRule="auto"/>
        <w:ind w:leftChars="0" w:left="630" w:hanging="630"/>
        <w:jc w:val="both"/>
        <w:rPr>
          <w:rFonts w:ascii="標楷體" w:eastAsia="標楷體" w:hAnsi="標楷體"/>
          <w:sz w:val="28"/>
        </w:rPr>
      </w:pPr>
      <w:r w:rsidRPr="007E69FB">
        <w:rPr>
          <w:rFonts w:ascii="標楷體" w:eastAsia="標楷體" w:hAnsi="標楷體" w:hint="eastAsia"/>
          <w:sz w:val="28"/>
        </w:rPr>
        <w:t>為建立各機關、公立學校(以下簡稱各機關)</w:t>
      </w:r>
      <w:r w:rsidR="009C26F1">
        <w:rPr>
          <w:rFonts w:ascii="標楷體" w:eastAsia="標楷體" w:hAnsi="標楷體" w:hint="eastAsia"/>
          <w:sz w:val="28"/>
        </w:rPr>
        <w:t>規劃辦理員工福利措施及執行全國軍公教員工待遇支給要點第七點所定</w:t>
      </w:r>
      <w:r w:rsidRPr="007E69FB">
        <w:rPr>
          <w:rFonts w:ascii="標楷體" w:eastAsia="標楷體" w:hAnsi="標楷體" w:hint="eastAsia"/>
          <w:sz w:val="28"/>
        </w:rPr>
        <w:t>福利事項報院之準據，特訂定本原則</w:t>
      </w:r>
      <w:r w:rsidR="00B1557D" w:rsidRPr="00B1557D">
        <w:rPr>
          <w:rFonts w:ascii="標楷體" w:eastAsia="標楷體" w:hAnsi="標楷體" w:hint="eastAsia"/>
          <w:sz w:val="28"/>
        </w:rPr>
        <w:t>。</w:t>
      </w:r>
    </w:p>
    <w:p w:rsidR="00B1557D" w:rsidRDefault="00B1557D" w:rsidP="001F5A33">
      <w:pPr>
        <w:pStyle w:val="a7"/>
        <w:numPr>
          <w:ilvl w:val="0"/>
          <w:numId w:val="1"/>
        </w:numPr>
        <w:tabs>
          <w:tab w:val="left" w:pos="574"/>
          <w:tab w:val="left" w:pos="630"/>
        </w:tabs>
        <w:spacing w:line="360" w:lineRule="auto"/>
        <w:ind w:leftChars="0" w:left="546" w:hanging="546"/>
        <w:rPr>
          <w:rFonts w:ascii="標楷體" w:eastAsia="標楷體" w:hAnsi="標楷體"/>
          <w:sz w:val="28"/>
        </w:rPr>
      </w:pPr>
      <w:r w:rsidRPr="00B1557D">
        <w:rPr>
          <w:rFonts w:ascii="標楷體" w:eastAsia="標楷體" w:hAnsi="標楷體" w:hint="eastAsia"/>
          <w:sz w:val="28"/>
        </w:rPr>
        <w:t>各機關辦理之員工福利措施，除法規另有規定外，依本原則之規定。</w:t>
      </w:r>
    </w:p>
    <w:p w:rsidR="00B1557D" w:rsidRPr="00B1557D" w:rsidRDefault="00B1557D" w:rsidP="001F5A33">
      <w:pPr>
        <w:pStyle w:val="a7"/>
        <w:numPr>
          <w:ilvl w:val="0"/>
          <w:numId w:val="1"/>
        </w:numPr>
        <w:tabs>
          <w:tab w:val="left" w:pos="588"/>
        </w:tabs>
        <w:spacing w:line="360" w:lineRule="auto"/>
        <w:ind w:leftChars="0"/>
        <w:jc w:val="both"/>
        <w:rPr>
          <w:rFonts w:ascii="標楷體" w:eastAsia="標楷體" w:hAnsi="標楷體"/>
          <w:sz w:val="28"/>
        </w:rPr>
      </w:pPr>
      <w:r w:rsidRPr="00B1557D">
        <w:rPr>
          <w:rFonts w:ascii="標楷體" w:eastAsia="標楷體" w:hAnsi="標楷體" w:hint="eastAsia"/>
          <w:sz w:val="28"/>
        </w:rPr>
        <w:t>本原則用詞，定義如下：</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福利措施：指工作報酬以外，政府為安定員工生活，激勵工作士氣所提供之給與、照顧或服務措施。</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主管機關：</w:t>
      </w:r>
      <w:r w:rsidR="00382882" w:rsidRPr="00382882">
        <w:rPr>
          <w:rFonts w:ascii="標楷體" w:eastAsia="標楷體" w:hAnsi="標楷體" w:hint="eastAsia"/>
          <w:sz w:val="28"/>
        </w:rPr>
        <w:t>指總統府、國家安全會議、中央一級、二級機關或相當二級機關之獨立機關、省政府、省諮議會、直轄市政府、直轄市議會、縣（市）政府及縣（市）議會</w:t>
      </w:r>
      <w:r w:rsidRPr="00B1557D">
        <w:rPr>
          <w:rFonts w:ascii="標楷體" w:eastAsia="標楷體" w:hAnsi="標楷體" w:hint="eastAsia"/>
          <w:sz w:val="28"/>
        </w:rPr>
        <w:t>。</w:t>
      </w:r>
    </w:p>
    <w:p w:rsidR="00B1557D" w:rsidRPr="00B1557D" w:rsidRDefault="00571578" w:rsidP="001F5A33">
      <w:pPr>
        <w:pStyle w:val="a7"/>
        <w:numPr>
          <w:ilvl w:val="0"/>
          <w:numId w:val="1"/>
        </w:numPr>
        <w:tabs>
          <w:tab w:val="left" w:pos="709"/>
        </w:tabs>
        <w:spacing w:line="360" w:lineRule="auto"/>
        <w:ind w:leftChars="0" w:left="630" w:hanging="630"/>
        <w:jc w:val="both"/>
        <w:rPr>
          <w:rFonts w:ascii="標楷體" w:eastAsia="標楷體" w:hAnsi="標楷體"/>
          <w:sz w:val="28"/>
        </w:rPr>
      </w:pPr>
      <w:r>
        <w:rPr>
          <w:rFonts w:ascii="標楷體" w:eastAsia="標楷體" w:hAnsi="標楷體" w:hint="eastAsia"/>
          <w:sz w:val="28"/>
        </w:rPr>
        <w:t>各機關推動員工福利措施，應配合政府政策、財政狀況及</w:t>
      </w:r>
      <w:r w:rsidR="00B1557D" w:rsidRPr="00B1557D">
        <w:rPr>
          <w:rFonts w:ascii="標楷體" w:eastAsia="標楷體" w:hAnsi="標楷體" w:hint="eastAsia"/>
          <w:sz w:val="28"/>
        </w:rPr>
        <w:t>員</w:t>
      </w:r>
      <w:r>
        <w:rPr>
          <w:rFonts w:ascii="標楷體" w:eastAsia="標楷體" w:hAnsi="標楷體" w:hint="eastAsia"/>
          <w:sz w:val="28"/>
        </w:rPr>
        <w:t>工</w:t>
      </w:r>
      <w:r w:rsidR="00B1557D" w:rsidRPr="00B1557D">
        <w:rPr>
          <w:rFonts w:ascii="標楷體" w:eastAsia="標楷體" w:hAnsi="標楷體" w:hint="eastAsia"/>
          <w:sz w:val="28"/>
        </w:rPr>
        <w:t>需求，於年度預算範圍內妥善規劃，並運用社會資源辦理。</w:t>
      </w:r>
    </w:p>
    <w:p w:rsidR="00B1557D" w:rsidRDefault="00132546" w:rsidP="00132546">
      <w:pPr>
        <w:pStyle w:val="a7"/>
        <w:tabs>
          <w:tab w:val="left" w:pos="672"/>
        </w:tabs>
        <w:spacing w:line="360" w:lineRule="auto"/>
        <w:ind w:leftChars="0" w:left="644" w:firstLineChars="200" w:firstLine="560"/>
        <w:jc w:val="both"/>
        <w:rPr>
          <w:rFonts w:ascii="標楷體" w:eastAsia="標楷體" w:hAnsi="標楷體"/>
          <w:sz w:val="28"/>
        </w:rPr>
      </w:pPr>
      <w:r w:rsidRPr="00132546">
        <w:rPr>
          <w:rFonts w:ascii="標楷體" w:eastAsia="標楷體" w:hAnsi="標楷體" w:hint="eastAsia"/>
          <w:sz w:val="28"/>
        </w:rPr>
        <w:t>前項福利措施得由各機關自行規劃辦理、聯合其他機關、學校共同辦理或以委託方式辦理</w:t>
      </w:r>
      <w:r w:rsidR="00B1557D" w:rsidRPr="00B1557D">
        <w:rPr>
          <w:rFonts w:ascii="標楷體" w:eastAsia="標楷體" w:hAnsi="標楷體" w:hint="eastAsia"/>
          <w:sz w:val="28"/>
        </w:rPr>
        <w:t>。</w:t>
      </w:r>
    </w:p>
    <w:p w:rsidR="00B1557D" w:rsidRPr="00B1557D" w:rsidRDefault="0010267B"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4"/>
        </w:rPr>
      </w:pPr>
      <w:r w:rsidRPr="0010267B">
        <w:rPr>
          <w:rFonts w:ascii="標楷體" w:eastAsia="標楷體" w:hAnsi="標楷體" w:cs="Times New Roman" w:hint="eastAsia"/>
          <w:sz w:val="28"/>
          <w:szCs w:val="24"/>
        </w:rPr>
        <w:t>各機關編列預算辦理之員工福利措施，除行政院另有規定或下列情形外</w:t>
      </w:r>
      <w:r>
        <w:rPr>
          <w:rFonts w:ascii="標楷體" w:eastAsia="標楷體" w:hAnsi="標楷體" w:cs="Times New Roman" w:hint="eastAsia"/>
          <w:sz w:val="28"/>
          <w:szCs w:val="24"/>
        </w:rPr>
        <w:t>，均應報行政院核定</w:t>
      </w:r>
      <w:r w:rsidR="00B1557D" w:rsidRPr="00B1557D">
        <w:rPr>
          <w:rFonts w:ascii="標楷體" w:eastAsia="標楷體" w:hAnsi="標楷體" w:cs="Times New Roman" w:hint="eastAsia"/>
          <w:sz w:val="28"/>
          <w:szCs w:val="24"/>
        </w:rPr>
        <w:t>：</w:t>
      </w:r>
    </w:p>
    <w:p w:rsidR="00EC0DC5" w:rsidRDefault="0010267B" w:rsidP="001F5A33">
      <w:pPr>
        <w:numPr>
          <w:ilvl w:val="0"/>
          <w:numId w:val="4"/>
        </w:numPr>
        <w:tabs>
          <w:tab w:val="left" w:pos="812"/>
        </w:tabs>
        <w:spacing w:line="360" w:lineRule="auto"/>
        <w:ind w:left="882" w:hanging="891"/>
        <w:jc w:val="both"/>
        <w:rPr>
          <w:rFonts w:ascii="標楷體" w:eastAsia="標楷體" w:hAnsi="標楷體" w:cs="Times New Roman"/>
          <w:sz w:val="28"/>
          <w:szCs w:val="24"/>
        </w:rPr>
      </w:pPr>
      <w:r w:rsidRPr="0010267B">
        <w:rPr>
          <w:rFonts w:ascii="標楷體" w:eastAsia="標楷體" w:hAnsi="標楷體" w:cs="Times New Roman" w:hint="eastAsia"/>
          <w:sz w:val="28"/>
          <w:szCs w:val="24"/>
        </w:rPr>
        <w:lastRenderedPageBreak/>
        <w:t>直轄市政府、縣(市)政府得配合高齡化、少子女化等政府政策，以自籌財源</w:t>
      </w:r>
      <w:r w:rsidR="004A48B3">
        <w:rPr>
          <w:rFonts w:ascii="標楷體" w:eastAsia="標楷體" w:hAnsi="標楷體" w:cs="Times New Roman" w:hint="eastAsia"/>
          <w:sz w:val="28"/>
          <w:szCs w:val="24"/>
        </w:rPr>
        <w:t>且不</w:t>
      </w:r>
      <w:r w:rsidRPr="0010267B">
        <w:rPr>
          <w:rFonts w:ascii="標楷體" w:eastAsia="標楷體" w:hAnsi="標楷體" w:cs="Times New Roman" w:hint="eastAsia"/>
          <w:sz w:val="28"/>
          <w:szCs w:val="24"/>
        </w:rPr>
        <w:t>要求中央補助方式，辦理因地制宜之福利措施。</w:t>
      </w:r>
      <w:r w:rsidR="0063288A">
        <w:rPr>
          <w:rFonts w:ascii="標楷體" w:eastAsia="標楷體" w:hAnsi="標楷體" w:cs="Times New Roman" w:hint="eastAsia"/>
          <w:sz w:val="28"/>
          <w:szCs w:val="24"/>
        </w:rPr>
        <w:t>但</w:t>
      </w:r>
      <w:r w:rsidRPr="0010267B">
        <w:rPr>
          <w:rFonts w:ascii="標楷體" w:eastAsia="標楷體" w:hAnsi="標楷體" w:cs="Times New Roman" w:hint="eastAsia"/>
          <w:sz w:val="28"/>
          <w:szCs w:val="24"/>
        </w:rPr>
        <w:t>行政院已提供性質相當之福利措施，不得重複辦理。</w:t>
      </w:r>
    </w:p>
    <w:p w:rsidR="00B1557D" w:rsidRPr="00B1557D" w:rsidRDefault="00B1557D" w:rsidP="001F5A33">
      <w:pPr>
        <w:numPr>
          <w:ilvl w:val="0"/>
          <w:numId w:val="4"/>
        </w:numPr>
        <w:tabs>
          <w:tab w:val="left" w:pos="854"/>
        </w:tabs>
        <w:spacing w:line="360" w:lineRule="auto"/>
        <w:ind w:left="826" w:hanging="835"/>
        <w:jc w:val="both"/>
        <w:rPr>
          <w:rFonts w:ascii="標楷體" w:eastAsia="標楷體" w:hAnsi="標楷體" w:cs="Times New Roman"/>
          <w:sz w:val="28"/>
          <w:szCs w:val="24"/>
        </w:rPr>
      </w:pPr>
      <w:r w:rsidRPr="00B1557D">
        <w:rPr>
          <w:rFonts w:ascii="標楷體" w:eastAsia="標楷體" w:hAnsi="標楷體" w:cs="Times New Roman" w:hint="eastAsia"/>
          <w:sz w:val="28"/>
          <w:szCs w:val="24"/>
        </w:rPr>
        <w:t>運用設施辦理之照顧或服務性福利措施。</w:t>
      </w:r>
    </w:p>
    <w:p w:rsidR="00B1557D" w:rsidRPr="00B1557D" w:rsidRDefault="000379C1" w:rsidP="00DE42A2">
      <w:pPr>
        <w:spacing w:line="360" w:lineRule="auto"/>
        <w:ind w:leftChars="262" w:left="629" w:firstLineChars="210" w:firstLine="588"/>
        <w:jc w:val="both"/>
        <w:rPr>
          <w:rFonts w:ascii="標楷體" w:eastAsia="標楷體" w:hAnsi="標楷體" w:cs="Times New Roman"/>
          <w:sz w:val="28"/>
          <w:szCs w:val="24"/>
        </w:rPr>
      </w:pPr>
      <w:r w:rsidRPr="000379C1">
        <w:rPr>
          <w:rFonts w:ascii="標楷體" w:eastAsia="標楷體" w:hAnsi="標楷體" w:cs="Times New Roman" w:hint="eastAsia"/>
          <w:sz w:val="28"/>
          <w:szCs w:val="24"/>
        </w:rPr>
        <w:t>各機關得在行政院核定之福利措施適用對象、支給數額及實施期間等範圍內，視經費狀況及業務推動需要調整</w:t>
      </w:r>
      <w:r w:rsidR="005B7C83" w:rsidRPr="004D2F6A">
        <w:rPr>
          <w:rFonts w:ascii="標楷體" w:eastAsia="標楷體" w:hAnsi="標楷體" w:cs="Times New Roman" w:hint="eastAsia"/>
          <w:sz w:val="28"/>
          <w:szCs w:val="24"/>
        </w:rPr>
        <w:t>，無須再報</w:t>
      </w:r>
      <w:r w:rsidR="00132546">
        <w:rPr>
          <w:rFonts w:ascii="標楷體" w:eastAsia="標楷體" w:hAnsi="標楷體" w:cs="Times New Roman" w:hint="eastAsia"/>
          <w:sz w:val="28"/>
          <w:szCs w:val="24"/>
        </w:rPr>
        <w:t>行政</w:t>
      </w:r>
      <w:r w:rsidR="005B7C83" w:rsidRPr="004D2F6A">
        <w:rPr>
          <w:rFonts w:ascii="標楷體" w:eastAsia="標楷體" w:hAnsi="標楷體" w:cs="Times New Roman" w:hint="eastAsia"/>
          <w:sz w:val="28"/>
          <w:szCs w:val="24"/>
        </w:rPr>
        <w:t>院核定</w:t>
      </w:r>
      <w:r w:rsidR="00B1557D" w:rsidRPr="00B1557D">
        <w:rPr>
          <w:rFonts w:ascii="標楷體" w:eastAsia="標楷體" w:hAnsi="標楷體" w:cs="Times New Roman" w:hint="eastAsia"/>
          <w:sz w:val="28"/>
          <w:szCs w:val="24"/>
        </w:rPr>
        <w:t>。</w:t>
      </w:r>
    </w:p>
    <w:p w:rsidR="00B1557D" w:rsidRPr="00B1557D" w:rsidRDefault="0010267B" w:rsidP="00DE42A2">
      <w:pPr>
        <w:tabs>
          <w:tab w:val="left" w:pos="1134"/>
        </w:tabs>
        <w:spacing w:line="360" w:lineRule="auto"/>
        <w:ind w:leftChars="262" w:left="629" w:firstLineChars="195" w:firstLine="546"/>
        <w:jc w:val="both"/>
        <w:rPr>
          <w:rFonts w:ascii="標楷體" w:eastAsia="標楷體" w:hAnsi="標楷體" w:cs="Times New Roman"/>
          <w:sz w:val="28"/>
          <w:szCs w:val="24"/>
        </w:rPr>
      </w:pPr>
      <w:r w:rsidRPr="0010267B">
        <w:rPr>
          <w:rFonts w:ascii="標楷體" w:eastAsia="標楷體" w:hAnsi="標楷體" w:cs="Times New Roman" w:hint="eastAsia"/>
          <w:sz w:val="28"/>
          <w:szCs w:val="24"/>
        </w:rPr>
        <w:t>以第一項第一款方式辦理者，應訂定實施計畫或相關規定送行政院備查；並應定期評估檢討其成效，以為續辦之依據</w:t>
      </w:r>
      <w:r w:rsidR="00B1557D" w:rsidRPr="00B1557D">
        <w:rPr>
          <w:rFonts w:ascii="標楷體" w:eastAsia="標楷體" w:hAnsi="標楷體" w:cs="Times New Roman" w:hint="eastAsia"/>
          <w:sz w:val="28"/>
          <w:szCs w:val="24"/>
        </w:rPr>
        <w:t>。</w:t>
      </w:r>
    </w:p>
    <w:p w:rsidR="00B1557D" w:rsidRDefault="00132546" w:rsidP="00DE42A2">
      <w:pPr>
        <w:pStyle w:val="a7"/>
        <w:tabs>
          <w:tab w:val="left" w:pos="709"/>
        </w:tabs>
        <w:spacing w:line="360" w:lineRule="auto"/>
        <w:ind w:leftChars="0" w:left="630" w:firstLineChars="200" w:firstLine="560"/>
        <w:jc w:val="both"/>
        <w:rPr>
          <w:rFonts w:ascii="標楷體" w:eastAsia="標楷體" w:hAnsi="標楷體" w:cs="Times New Roman"/>
          <w:sz w:val="28"/>
          <w:szCs w:val="24"/>
        </w:rPr>
      </w:pPr>
      <w:r>
        <w:rPr>
          <w:rFonts w:ascii="標楷體" w:eastAsia="標楷體" w:hAnsi="標楷體" w:cs="Times New Roman" w:hint="eastAsia"/>
          <w:sz w:val="28"/>
          <w:szCs w:val="24"/>
        </w:rPr>
        <w:t>本原則生效</w:t>
      </w:r>
      <w:r w:rsidR="00B1557D" w:rsidRPr="00B1557D">
        <w:rPr>
          <w:rFonts w:ascii="標楷體" w:eastAsia="標楷體" w:hAnsi="標楷體" w:cs="Times New Roman" w:hint="eastAsia"/>
          <w:sz w:val="28"/>
          <w:szCs w:val="24"/>
        </w:rPr>
        <w:t>前</w:t>
      </w:r>
      <w:r>
        <w:rPr>
          <w:rFonts w:ascii="標楷體" w:eastAsia="標楷體" w:hAnsi="標楷體" w:cs="Times New Roman" w:hint="eastAsia"/>
          <w:sz w:val="28"/>
          <w:szCs w:val="24"/>
        </w:rPr>
        <w:t>，各機關辦理之員工福利措施與第一項規定不符，惟當年度已編列相關預算經立法機關審議通過</w:t>
      </w:r>
      <w:r w:rsidR="00B1557D" w:rsidRPr="00B1557D">
        <w:rPr>
          <w:rFonts w:ascii="標楷體" w:eastAsia="標楷體" w:hAnsi="標楷體" w:cs="Times New Roman" w:hint="eastAsia"/>
          <w:sz w:val="28"/>
          <w:szCs w:val="24"/>
        </w:rPr>
        <w:t>，得依原規劃</w:t>
      </w:r>
      <w:r>
        <w:rPr>
          <w:rFonts w:ascii="標楷體" w:eastAsia="標楷體" w:hAnsi="標楷體" w:cs="Times New Roman" w:hint="eastAsia"/>
          <w:sz w:val="28"/>
          <w:szCs w:val="24"/>
        </w:rPr>
        <w:t>措施辦理；其後年度</w:t>
      </w:r>
      <w:r w:rsidR="00B1557D" w:rsidRPr="00B1557D">
        <w:rPr>
          <w:rFonts w:ascii="標楷體" w:eastAsia="標楷體" w:hAnsi="標楷體" w:cs="Times New Roman" w:hint="eastAsia"/>
          <w:sz w:val="28"/>
          <w:szCs w:val="24"/>
        </w:rPr>
        <w:t>應依第一項規定辦理。</w:t>
      </w:r>
    </w:p>
    <w:p w:rsidR="00EF3B13" w:rsidRPr="00EF3B13" w:rsidRDefault="00EF3B13"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各機關得視需要由機關內員工（機關已組織公務人員協會者，應包含其代表）組成福利措施推動小組</w:t>
      </w:r>
      <w:r w:rsidR="001951E8">
        <w:rPr>
          <w:rFonts w:ascii="標楷體" w:eastAsia="標楷體" w:hAnsi="標楷體" w:cs="Times New Roman" w:hint="eastAsia"/>
          <w:sz w:val="28"/>
          <w:szCs w:val="28"/>
        </w:rPr>
        <w:t>（以下簡稱推動小組）</w:t>
      </w:r>
      <w:r w:rsidRPr="00EF3B13">
        <w:rPr>
          <w:rFonts w:ascii="標楷體" w:eastAsia="標楷體" w:hAnsi="標楷體" w:cs="Times New Roman" w:hint="eastAsia"/>
          <w:sz w:val="28"/>
          <w:szCs w:val="28"/>
        </w:rPr>
        <w:t>，並由機關首長指定一人擔任召集人；推動小組負責研擬福利措施、辦理方式、實施對象及經費運用等相關事宜。</w:t>
      </w:r>
    </w:p>
    <w:p w:rsidR="00EF3B13" w:rsidRPr="00EF3B13" w:rsidRDefault="00EF3B13" w:rsidP="001F5A33">
      <w:pPr>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前項推動小組之</w:t>
      </w:r>
      <w:r w:rsidR="0049369E" w:rsidRPr="0049369E">
        <w:rPr>
          <w:rFonts w:ascii="標楷體" w:eastAsia="標楷體" w:hAnsi="標楷體" w:cs="Times New Roman" w:hint="eastAsia"/>
          <w:sz w:val="28"/>
          <w:szCs w:val="28"/>
        </w:rPr>
        <w:t>任務、</w:t>
      </w:r>
      <w:r w:rsidRPr="00EF3B13">
        <w:rPr>
          <w:rFonts w:ascii="標楷體" w:eastAsia="標楷體" w:hAnsi="標楷體" w:cs="Times New Roman" w:hint="eastAsia"/>
          <w:sz w:val="28"/>
          <w:szCs w:val="28"/>
        </w:rPr>
        <w:t>組成、運作及其他相關事項，由各機關定之。</w:t>
      </w:r>
    </w:p>
    <w:p w:rsidR="00EF3B13" w:rsidRDefault="00EF3B13" w:rsidP="001F5A33">
      <w:pPr>
        <w:tabs>
          <w:tab w:val="left" w:pos="709"/>
          <w:tab w:val="left" w:pos="1276"/>
        </w:tabs>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各主管機關得聯合所屬相關機關比照前二項規定統籌辦理</w:t>
      </w:r>
      <w:r w:rsidRPr="00EF3B13">
        <w:rPr>
          <w:rFonts w:ascii="標楷體" w:eastAsia="標楷體" w:hAnsi="標楷體" w:cs="Times New Roman" w:hint="eastAsia"/>
          <w:sz w:val="28"/>
          <w:szCs w:val="28"/>
        </w:rPr>
        <w:lastRenderedPageBreak/>
        <w:t>員工福利措施推動事宜。</w:t>
      </w:r>
    </w:p>
    <w:p w:rsidR="00075E7E" w:rsidRPr="00075E7E" w:rsidRDefault="000379C1" w:rsidP="001F5A33">
      <w:pPr>
        <w:pStyle w:val="a7"/>
        <w:numPr>
          <w:ilvl w:val="0"/>
          <w:numId w:val="1"/>
        </w:numPr>
        <w:tabs>
          <w:tab w:val="left" w:pos="709"/>
        </w:tabs>
        <w:spacing w:line="360" w:lineRule="auto"/>
        <w:ind w:leftChars="0" w:left="714" w:hanging="714"/>
        <w:jc w:val="both"/>
        <w:rPr>
          <w:rFonts w:ascii="標楷體" w:eastAsia="標楷體" w:hAnsi="標楷體"/>
          <w:sz w:val="28"/>
          <w:szCs w:val="28"/>
        </w:rPr>
      </w:pPr>
      <w:r w:rsidRPr="000379C1">
        <w:rPr>
          <w:rFonts w:ascii="標楷體" w:eastAsia="標楷體" w:hAnsi="標楷體" w:hint="eastAsia"/>
          <w:sz w:val="28"/>
          <w:szCs w:val="28"/>
        </w:rPr>
        <w:t>各機關推動之各項福</w:t>
      </w:r>
      <w:r>
        <w:rPr>
          <w:rFonts w:ascii="標楷體" w:eastAsia="標楷體" w:hAnsi="標楷體" w:hint="eastAsia"/>
          <w:sz w:val="28"/>
          <w:szCs w:val="28"/>
        </w:rPr>
        <w:t>利措施，須適時宣導，協助有需求之員工參考運用</w:t>
      </w:r>
      <w:r w:rsidR="00075E7E" w:rsidRPr="00075E7E">
        <w:rPr>
          <w:rFonts w:ascii="標楷體" w:eastAsia="標楷體" w:hAnsi="標楷體" w:hint="eastAsia"/>
          <w:sz w:val="28"/>
          <w:szCs w:val="28"/>
        </w:rPr>
        <w:t>。</w:t>
      </w:r>
    </w:p>
    <w:p w:rsidR="00075E7E" w:rsidRDefault="00E728CF" w:rsidP="00E91B01">
      <w:pPr>
        <w:tabs>
          <w:tab w:val="left" w:pos="714"/>
        </w:tabs>
        <w:spacing w:line="360" w:lineRule="auto"/>
        <w:ind w:leftChars="291" w:left="698" w:firstLineChars="195" w:firstLine="546"/>
        <w:jc w:val="both"/>
        <w:rPr>
          <w:rFonts w:ascii="標楷體" w:eastAsia="標楷體" w:hAnsi="標楷體"/>
          <w:sz w:val="28"/>
          <w:szCs w:val="28"/>
        </w:rPr>
      </w:pPr>
      <w:r w:rsidRPr="00E728CF">
        <w:rPr>
          <w:rFonts w:ascii="標楷體" w:eastAsia="標楷體" w:hAnsi="標楷體" w:hint="eastAsia"/>
          <w:sz w:val="28"/>
          <w:szCs w:val="28"/>
        </w:rPr>
        <w:t>各機關應鼓勵員工參與福利措施之規劃，於法令規範內發揮創意，提升福利措施之辦理效益</w:t>
      </w:r>
      <w:r w:rsidR="00075E7E" w:rsidRPr="00075E7E">
        <w:rPr>
          <w:rFonts w:ascii="標楷體" w:eastAsia="標楷體" w:hAnsi="標楷體" w:hint="eastAsia"/>
          <w:sz w:val="28"/>
          <w:szCs w:val="28"/>
        </w:rPr>
        <w:t>。</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各機關得依相關法令規定提供或運用設施、建築物等公用空間，辦理員工福利措施。</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主管機關得建立相關福利措施示範學習及觀摩交流機制，供所屬機關參考運用，並定期檢視調整。</w:t>
      </w:r>
    </w:p>
    <w:p w:rsidR="00075E7E" w:rsidRPr="00075E7E" w:rsidRDefault="00075E7E" w:rsidP="001F5A33">
      <w:pPr>
        <w:pStyle w:val="a7"/>
        <w:numPr>
          <w:ilvl w:val="0"/>
          <w:numId w:val="1"/>
        </w:numPr>
        <w:tabs>
          <w:tab w:val="left" w:pos="709"/>
        </w:tabs>
        <w:spacing w:line="360" w:lineRule="auto"/>
        <w:ind w:leftChars="0" w:left="686" w:hanging="686"/>
        <w:jc w:val="both"/>
        <w:rPr>
          <w:rFonts w:ascii="標楷體" w:eastAsia="標楷體" w:hAnsi="標楷體"/>
          <w:sz w:val="28"/>
          <w:szCs w:val="28"/>
        </w:rPr>
      </w:pPr>
      <w:r w:rsidRPr="00075E7E">
        <w:rPr>
          <w:rFonts w:ascii="標楷體" w:eastAsia="標楷體" w:hAnsi="標楷體" w:hint="eastAsia"/>
          <w:sz w:val="28"/>
          <w:szCs w:val="28"/>
        </w:rPr>
        <w:t>各機關規劃辦理創新或具績效之福利措施，經各主管機關評選確具成效者，得以網路或適當方式公開</w:t>
      </w:r>
      <w:r w:rsidR="009915A8">
        <w:rPr>
          <w:rFonts w:ascii="標楷體" w:eastAsia="標楷體" w:hAnsi="標楷體" w:hint="eastAsia"/>
          <w:sz w:val="28"/>
          <w:szCs w:val="28"/>
        </w:rPr>
        <w:t>及</w:t>
      </w:r>
      <w:r w:rsidRPr="00075E7E">
        <w:rPr>
          <w:rFonts w:ascii="標楷體" w:eastAsia="標楷體" w:hAnsi="標楷體" w:hint="eastAsia"/>
          <w:sz w:val="28"/>
          <w:szCs w:val="28"/>
        </w:rPr>
        <w:t>表揚。</w:t>
      </w:r>
    </w:p>
    <w:p w:rsidR="00075E7E" w:rsidRDefault="00075E7E" w:rsidP="001F5A33">
      <w:pPr>
        <w:pStyle w:val="a7"/>
        <w:tabs>
          <w:tab w:val="left" w:pos="709"/>
        </w:tabs>
        <w:spacing w:line="360" w:lineRule="auto"/>
        <w:ind w:leftChars="0" w:left="714" w:firstLineChars="194" w:firstLine="543"/>
        <w:jc w:val="both"/>
        <w:rPr>
          <w:rFonts w:ascii="標楷體" w:eastAsia="標楷體" w:hAnsi="標楷體"/>
          <w:sz w:val="28"/>
          <w:szCs w:val="28"/>
        </w:rPr>
      </w:pPr>
      <w:r w:rsidRPr="00075E7E">
        <w:rPr>
          <w:rFonts w:ascii="標楷體" w:eastAsia="標楷體" w:hAnsi="標楷體" w:hint="eastAsia"/>
          <w:sz w:val="28"/>
          <w:szCs w:val="28"/>
        </w:rPr>
        <w:t>各機關規劃辦理前項福利措施著有績效者，得予行政獎勵。</w:t>
      </w:r>
    </w:p>
    <w:p w:rsidR="00D95017" w:rsidRPr="009915A8" w:rsidRDefault="00D95017" w:rsidP="001F5A33">
      <w:pPr>
        <w:tabs>
          <w:tab w:val="left" w:pos="709"/>
        </w:tabs>
        <w:spacing w:line="360" w:lineRule="auto"/>
        <w:jc w:val="both"/>
        <w:rPr>
          <w:rFonts w:ascii="標楷體" w:eastAsia="標楷體" w:hAnsi="標楷體"/>
          <w:sz w:val="28"/>
          <w:szCs w:val="28"/>
        </w:rPr>
      </w:pPr>
    </w:p>
    <w:sectPr w:rsidR="00D95017" w:rsidRPr="00991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40" w:rsidRDefault="001A3C40" w:rsidP="00B1557D">
      <w:r>
        <w:separator/>
      </w:r>
    </w:p>
  </w:endnote>
  <w:endnote w:type="continuationSeparator" w:id="0">
    <w:p w:rsidR="001A3C40" w:rsidRDefault="001A3C40" w:rsidP="00B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40" w:rsidRDefault="001A3C40" w:rsidP="00B1557D">
      <w:r>
        <w:separator/>
      </w:r>
    </w:p>
  </w:footnote>
  <w:footnote w:type="continuationSeparator" w:id="0">
    <w:p w:rsidR="001A3C40" w:rsidRDefault="001A3C40" w:rsidP="00B1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11A"/>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
    <w:nsid w:val="220F4E37"/>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
    <w:nsid w:val="273B4F65"/>
    <w:multiLevelType w:val="hybridMultilevel"/>
    <w:tmpl w:val="2C286E9A"/>
    <w:lvl w:ilvl="0" w:tplc="00DA24DE">
      <w:start w:val="1"/>
      <w:numFmt w:val="taiwaneseCountingThousand"/>
      <w:lvlText w:val="（%1）"/>
      <w:lvlJc w:val="left"/>
      <w:pPr>
        <w:ind w:left="4025" w:hanging="480"/>
      </w:pPr>
      <w:rPr>
        <w:rFonts w:ascii="標楷體" w:eastAsia="標楷體" w:hAnsi="標楷體" w:hint="eastAsia"/>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
    <w:nsid w:val="644D1FF4"/>
    <w:multiLevelType w:val="hybridMultilevel"/>
    <w:tmpl w:val="33824C1E"/>
    <w:lvl w:ilvl="0" w:tplc="7E32DC1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1B"/>
    <w:rsid w:val="000379C1"/>
    <w:rsid w:val="00075E7E"/>
    <w:rsid w:val="000F3312"/>
    <w:rsid w:val="000F360B"/>
    <w:rsid w:val="0010267B"/>
    <w:rsid w:val="00116AFA"/>
    <w:rsid w:val="00132546"/>
    <w:rsid w:val="001951E8"/>
    <w:rsid w:val="001A3C40"/>
    <w:rsid w:val="001B0010"/>
    <w:rsid w:val="001F5A33"/>
    <w:rsid w:val="002563C9"/>
    <w:rsid w:val="002C4CBE"/>
    <w:rsid w:val="00334D2B"/>
    <w:rsid w:val="00382882"/>
    <w:rsid w:val="0049369E"/>
    <w:rsid w:val="004A48B3"/>
    <w:rsid w:val="004D2F6A"/>
    <w:rsid w:val="004E6509"/>
    <w:rsid w:val="00571578"/>
    <w:rsid w:val="005858F3"/>
    <w:rsid w:val="005930BE"/>
    <w:rsid w:val="005B7C83"/>
    <w:rsid w:val="006007DF"/>
    <w:rsid w:val="0061516B"/>
    <w:rsid w:val="0063288A"/>
    <w:rsid w:val="0067466D"/>
    <w:rsid w:val="006B1FD8"/>
    <w:rsid w:val="006E1B93"/>
    <w:rsid w:val="006F731B"/>
    <w:rsid w:val="007323A9"/>
    <w:rsid w:val="00785F3E"/>
    <w:rsid w:val="007A6901"/>
    <w:rsid w:val="007C081B"/>
    <w:rsid w:val="007E69FB"/>
    <w:rsid w:val="00826F12"/>
    <w:rsid w:val="00852CF8"/>
    <w:rsid w:val="008918F7"/>
    <w:rsid w:val="0089439B"/>
    <w:rsid w:val="008E641B"/>
    <w:rsid w:val="008F577D"/>
    <w:rsid w:val="008F7754"/>
    <w:rsid w:val="009915A8"/>
    <w:rsid w:val="009C26F1"/>
    <w:rsid w:val="009C5BE3"/>
    <w:rsid w:val="00A547A8"/>
    <w:rsid w:val="00AF0182"/>
    <w:rsid w:val="00B1557D"/>
    <w:rsid w:val="00B526A2"/>
    <w:rsid w:val="00B761FB"/>
    <w:rsid w:val="00B870C9"/>
    <w:rsid w:val="00B953E6"/>
    <w:rsid w:val="00BE2CA6"/>
    <w:rsid w:val="00C949DA"/>
    <w:rsid w:val="00C97370"/>
    <w:rsid w:val="00CE1EFA"/>
    <w:rsid w:val="00CF3A89"/>
    <w:rsid w:val="00D875D3"/>
    <w:rsid w:val="00D95017"/>
    <w:rsid w:val="00D97504"/>
    <w:rsid w:val="00DD4D3E"/>
    <w:rsid w:val="00DE42A2"/>
    <w:rsid w:val="00E23520"/>
    <w:rsid w:val="00E42371"/>
    <w:rsid w:val="00E50695"/>
    <w:rsid w:val="00E54C3A"/>
    <w:rsid w:val="00E728CF"/>
    <w:rsid w:val="00E91B01"/>
    <w:rsid w:val="00EB77A5"/>
    <w:rsid w:val="00EC0DC5"/>
    <w:rsid w:val="00EC14A6"/>
    <w:rsid w:val="00EC5772"/>
    <w:rsid w:val="00EF3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13FA-8707-42ED-A945-B4D3520B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給與福利處第二科許倖瑤</dc:creator>
  <cp:lastModifiedBy>總發文張雨龍</cp:lastModifiedBy>
  <cp:revision>4</cp:revision>
  <cp:lastPrinted>2016-04-26T02:58:00Z</cp:lastPrinted>
  <dcterms:created xsi:type="dcterms:W3CDTF">2016-04-26T04:04:00Z</dcterms:created>
  <dcterms:modified xsi:type="dcterms:W3CDTF">2016-04-26T06:06:00Z</dcterms:modified>
</cp:coreProperties>
</file>