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8F" w:rsidRDefault="004C428F" w:rsidP="002A2CE0">
      <w:pPr>
        <w:jc w:val="center"/>
        <w:rPr>
          <w:rFonts w:ascii="Times New Roman" w:eastAsia="標楷體" w:hAnsi="Times New Roman"/>
          <w:b/>
          <w:sz w:val="28"/>
          <w:szCs w:val="28"/>
        </w:rPr>
      </w:pPr>
      <w:r>
        <w:rPr>
          <w:rFonts w:ascii="Times New Roman" w:eastAsia="標楷體" w:hAnsi="Times New Roman" w:hint="eastAsia"/>
          <w:b/>
          <w:sz w:val="28"/>
          <w:szCs w:val="28"/>
        </w:rPr>
        <w:t>聽障考生</w:t>
      </w:r>
      <w:r w:rsidRPr="00653331">
        <w:rPr>
          <w:rFonts w:ascii="Times New Roman" w:eastAsia="標楷體" w:hAnsi="Times New Roman"/>
          <w:b/>
          <w:sz w:val="28"/>
          <w:szCs w:val="28"/>
        </w:rPr>
        <w:t>104</w:t>
      </w:r>
      <w:r w:rsidRPr="00653331">
        <w:rPr>
          <w:rFonts w:ascii="Times New Roman" w:eastAsia="標楷體" w:hAnsi="Times New Roman" w:hint="eastAsia"/>
          <w:b/>
          <w:sz w:val="28"/>
          <w:szCs w:val="28"/>
        </w:rPr>
        <w:t>年國中教育會考英語科</w:t>
      </w:r>
      <w:r>
        <w:rPr>
          <w:rFonts w:ascii="Times New Roman" w:eastAsia="標楷體" w:hAnsi="Times New Roman" w:hint="eastAsia"/>
          <w:b/>
          <w:sz w:val="28"/>
          <w:szCs w:val="28"/>
        </w:rPr>
        <w:t>成績計分方式</w:t>
      </w:r>
    </w:p>
    <w:p w:rsidR="004C428F" w:rsidRPr="00C65B32" w:rsidRDefault="004C428F" w:rsidP="004A1F05">
      <w:pPr>
        <w:jc w:val="right"/>
        <w:rPr>
          <w:rFonts w:ascii="Times New Roman" w:eastAsia="標楷體" w:hAnsi="Times New Roman"/>
          <w:color w:val="000000"/>
          <w:szCs w:val="24"/>
        </w:rPr>
      </w:pPr>
      <w:r w:rsidRPr="00C65B32">
        <w:rPr>
          <w:rFonts w:ascii="Times New Roman" w:eastAsia="標楷體" w:hAnsi="標楷體" w:hint="eastAsia"/>
          <w:color w:val="000000"/>
          <w:szCs w:val="24"/>
        </w:rPr>
        <w:t>國立臺灣師範大學心理與教育測驗研究發展中心</w:t>
      </w:r>
    </w:p>
    <w:p w:rsidR="004C428F" w:rsidRPr="00C65B32" w:rsidRDefault="004C428F" w:rsidP="004A1F05">
      <w:pPr>
        <w:jc w:val="right"/>
        <w:rPr>
          <w:rFonts w:ascii="Times New Roman" w:eastAsia="標楷體" w:hAnsi="Times New Roman"/>
          <w:color w:val="000000"/>
          <w:szCs w:val="24"/>
        </w:rPr>
      </w:pPr>
    </w:p>
    <w:p w:rsidR="004C428F" w:rsidRDefault="004C428F" w:rsidP="00EF1DB4">
      <w:pPr>
        <w:ind w:left="960" w:firstLine="480"/>
        <w:rPr>
          <w:rFonts w:ascii="Times New Roman" w:eastAsia="標楷體" w:hAnsi="Times New Roman"/>
          <w:szCs w:val="24"/>
        </w:rPr>
      </w:pPr>
      <w:r w:rsidRPr="002A0915">
        <w:rPr>
          <w:rFonts w:ascii="Times New Roman" w:eastAsia="標楷體" w:hAnsi="Times New Roman" w:hint="eastAsia"/>
          <w:szCs w:val="24"/>
        </w:rPr>
        <w:t>國中教育會考英語科包含聽力及閱讀兩項語言技能，成績通知單除了分別呈現此二項技能的能力表現等級，其中聽力分為「基礎（含以上）」及「待加強」</w:t>
      </w:r>
      <w:r w:rsidRPr="002A0915">
        <w:rPr>
          <w:rFonts w:ascii="Times New Roman" w:eastAsia="標楷體" w:hAnsi="Times New Roman"/>
          <w:szCs w:val="24"/>
        </w:rPr>
        <w:t>2</w:t>
      </w:r>
      <w:r w:rsidRPr="002A0915">
        <w:rPr>
          <w:rFonts w:ascii="Times New Roman" w:eastAsia="標楷體" w:hAnsi="Times New Roman" w:hint="eastAsia"/>
          <w:szCs w:val="24"/>
        </w:rPr>
        <w:t>個能力等級</w:t>
      </w:r>
      <w:r w:rsidRPr="009311D0">
        <w:rPr>
          <w:rFonts w:ascii="Times New Roman" w:eastAsia="標楷體" w:hAnsi="Times New Roman"/>
          <w:szCs w:val="24"/>
          <w:vertAlign w:val="superscript"/>
        </w:rPr>
        <w:footnoteReference w:id="1"/>
      </w:r>
      <w:r w:rsidRPr="002A0915">
        <w:rPr>
          <w:rFonts w:ascii="Times New Roman" w:eastAsia="標楷體" w:hAnsi="Times New Roman" w:hint="eastAsia"/>
          <w:szCs w:val="24"/>
        </w:rPr>
        <w:t>，而閱讀分為「精熟」、「基礎」及「待加強」</w:t>
      </w:r>
      <w:r w:rsidRPr="002A0915">
        <w:rPr>
          <w:rFonts w:ascii="Times New Roman" w:eastAsia="標楷體" w:hAnsi="Times New Roman"/>
          <w:szCs w:val="24"/>
        </w:rPr>
        <w:t>3</w:t>
      </w:r>
      <w:r w:rsidRPr="002A0915">
        <w:rPr>
          <w:rFonts w:ascii="Times New Roman" w:eastAsia="標楷體" w:hAnsi="Times New Roman" w:hint="eastAsia"/>
          <w:szCs w:val="24"/>
        </w:rPr>
        <w:t>個能力等級，另外也會呈現英語科整體（閱讀加聽力）的能力等級，用於高級中等學校及五專入學超額比序時的英語科成績使用。</w:t>
      </w:r>
    </w:p>
    <w:p w:rsidR="004C428F" w:rsidRPr="00DE25A3" w:rsidRDefault="004C428F" w:rsidP="00EF1DB4">
      <w:pPr>
        <w:ind w:left="960" w:firstLine="480"/>
        <w:rPr>
          <w:rFonts w:ascii="Times New Roman" w:eastAsia="標楷體" w:hAnsi="Times New Roman"/>
          <w:szCs w:val="24"/>
        </w:rPr>
      </w:pPr>
      <w:r w:rsidRPr="004D78D4">
        <w:rPr>
          <w:rFonts w:ascii="Times New Roman" w:eastAsia="標楷體" w:hAnsi="Times New Roman" w:hint="eastAsia"/>
          <w:color w:val="000000"/>
          <w:szCs w:val="24"/>
        </w:rPr>
        <w:t>依據</w:t>
      </w:r>
      <w:r w:rsidRPr="004D78D4">
        <w:rPr>
          <w:rFonts w:ascii="Times New Roman" w:eastAsia="標楷體" w:hAnsi="Times New Roman"/>
          <w:color w:val="000000"/>
          <w:szCs w:val="24"/>
        </w:rPr>
        <w:t>103</w:t>
      </w:r>
      <w:r w:rsidRPr="004D78D4">
        <w:rPr>
          <w:rFonts w:ascii="Times New Roman" w:eastAsia="標楷體" w:hAnsi="Times New Roman" w:hint="eastAsia"/>
          <w:color w:val="000000"/>
          <w:szCs w:val="24"/>
        </w:rPr>
        <w:t>年</w:t>
      </w:r>
      <w:r w:rsidRPr="004D78D4">
        <w:rPr>
          <w:rFonts w:ascii="Times New Roman" w:eastAsia="標楷體" w:hAnsi="Times New Roman"/>
          <w:color w:val="000000"/>
          <w:szCs w:val="24"/>
        </w:rPr>
        <w:t>10</w:t>
      </w:r>
      <w:r w:rsidRPr="004D78D4">
        <w:rPr>
          <w:rFonts w:ascii="Times New Roman" w:eastAsia="標楷體" w:hAnsi="Times New Roman" w:hint="eastAsia"/>
          <w:color w:val="000000"/>
          <w:szCs w:val="24"/>
        </w:rPr>
        <w:t>月</w:t>
      </w:r>
      <w:r w:rsidRPr="004D78D4">
        <w:rPr>
          <w:rFonts w:ascii="Times New Roman" w:eastAsia="標楷體" w:hAnsi="Times New Roman"/>
          <w:color w:val="000000"/>
          <w:szCs w:val="24"/>
        </w:rPr>
        <w:t>28</w:t>
      </w:r>
      <w:r w:rsidRPr="004D78D4">
        <w:rPr>
          <w:rFonts w:ascii="Times New Roman" w:eastAsia="標楷體" w:hAnsi="Times New Roman" w:hint="eastAsia"/>
          <w:color w:val="000000"/>
          <w:szCs w:val="24"/>
        </w:rPr>
        <w:t>日教育部召開之</w:t>
      </w:r>
      <w:r w:rsidRPr="004D78D4">
        <w:rPr>
          <w:rFonts w:ascii="Times New Roman" w:eastAsia="標楷體" w:hAnsi="Times New Roman"/>
          <w:color w:val="000000"/>
          <w:szCs w:val="24"/>
        </w:rPr>
        <w:t>104</w:t>
      </w:r>
      <w:r w:rsidRPr="004D78D4">
        <w:rPr>
          <w:rFonts w:ascii="Times New Roman" w:eastAsia="標楷體" w:hAnsi="Times New Roman" w:hint="eastAsia"/>
          <w:color w:val="000000"/>
          <w:szCs w:val="24"/>
        </w:rPr>
        <w:t>年國中教育會考推動會第</w:t>
      </w:r>
      <w:r w:rsidRPr="004D78D4">
        <w:rPr>
          <w:rFonts w:ascii="Times New Roman" w:eastAsia="標楷體" w:hAnsi="Times New Roman"/>
          <w:color w:val="000000"/>
          <w:szCs w:val="24"/>
        </w:rPr>
        <w:t>2</w:t>
      </w:r>
      <w:r w:rsidRPr="004D78D4">
        <w:rPr>
          <w:rFonts w:ascii="Times New Roman" w:eastAsia="標楷體" w:hAnsi="Times New Roman" w:hint="eastAsia"/>
          <w:color w:val="000000"/>
          <w:szCs w:val="24"/>
        </w:rPr>
        <w:t>次會議決議：領有身心障礙證明（手冊）或經各級主管機關特殊</w:t>
      </w:r>
      <w:r>
        <w:rPr>
          <w:rFonts w:ascii="Times New Roman" w:eastAsia="標楷體" w:hAnsi="Times New Roman" w:hint="eastAsia"/>
          <w:szCs w:val="24"/>
        </w:rPr>
        <w:t>教育學生鑑定及就學輔導會鑑定為聽覺障礙之學生得予免試免計英語</w:t>
      </w:r>
      <w:r w:rsidRPr="00653331">
        <w:rPr>
          <w:rFonts w:ascii="Times New Roman" w:eastAsia="標楷體" w:hAnsi="Times New Roman" w:hint="eastAsia"/>
          <w:szCs w:val="24"/>
        </w:rPr>
        <w:t>聽力。免試者免計</w:t>
      </w:r>
      <w:r>
        <w:rPr>
          <w:rFonts w:ascii="Times New Roman" w:eastAsia="標楷體" w:hAnsi="Times New Roman" w:hint="eastAsia"/>
          <w:szCs w:val="24"/>
        </w:rPr>
        <w:t>英聽</w:t>
      </w:r>
      <w:r w:rsidRPr="00653331">
        <w:rPr>
          <w:rFonts w:ascii="Times New Roman" w:eastAsia="標楷體" w:hAnsi="Times New Roman" w:hint="eastAsia"/>
          <w:szCs w:val="24"/>
        </w:rPr>
        <w:t>成績，應試者可申請特殊考場服務，成績同一般學生計分方式。</w:t>
      </w:r>
    </w:p>
    <w:p w:rsidR="004C428F" w:rsidRPr="00EF1DB4" w:rsidRDefault="004C428F" w:rsidP="009311D0">
      <w:pPr>
        <w:ind w:left="960" w:firstLine="480"/>
        <w:rPr>
          <w:rFonts w:ascii="Times New Roman" w:eastAsia="標楷體" w:hAnsi="Times New Roman"/>
          <w:szCs w:val="24"/>
        </w:rPr>
      </w:pPr>
      <w:r>
        <w:rPr>
          <w:rFonts w:ascii="Times New Roman" w:eastAsia="標楷體" w:hAnsi="Times New Roman" w:hint="eastAsia"/>
          <w:szCs w:val="24"/>
        </w:rPr>
        <w:t>聽障考生若免考聽力測驗，則無聽力技能成績，其英語科閱讀</w:t>
      </w:r>
      <w:r w:rsidRPr="008B162B">
        <w:rPr>
          <w:rFonts w:ascii="Times New Roman" w:eastAsia="標楷體" w:hAnsi="Times New Roman" w:hint="eastAsia"/>
          <w:szCs w:val="24"/>
        </w:rPr>
        <w:t>能力等級即為英語科整體能力等級，</w:t>
      </w:r>
      <w:r>
        <w:rPr>
          <w:rFonts w:ascii="Times New Roman" w:eastAsia="標楷體" w:hAnsi="Times New Roman" w:hint="eastAsia"/>
          <w:szCs w:val="24"/>
        </w:rPr>
        <w:t>而整體英語科能力等級加標示計算方式則依據全國考生閱讀測驗等級分布，再依據標示之定義計算：</w:t>
      </w:r>
      <w:r w:rsidRPr="008B162B">
        <w:rPr>
          <w:rFonts w:ascii="Times New Roman" w:eastAsia="標楷體" w:hAnsi="Times New Roman" w:hint="eastAsia"/>
          <w:szCs w:val="24"/>
        </w:rPr>
        <w:t>在精熟（</w:t>
      </w:r>
      <w:r w:rsidRPr="00347D56">
        <w:rPr>
          <w:rFonts w:ascii="Times New Roman" w:eastAsia="標楷體" w:hAnsi="Times New Roman"/>
          <w:szCs w:val="24"/>
        </w:rPr>
        <w:t>A</w:t>
      </w:r>
      <w:r w:rsidRPr="008B162B">
        <w:rPr>
          <w:rFonts w:ascii="Times New Roman" w:eastAsia="標楷體" w:hAnsi="Times New Roman" w:hint="eastAsia"/>
          <w:szCs w:val="24"/>
        </w:rPr>
        <w:t>）等級前</w:t>
      </w:r>
      <w:r w:rsidRPr="00347D56">
        <w:rPr>
          <w:rFonts w:ascii="Times New Roman" w:eastAsia="標楷體" w:hAnsi="Times New Roman"/>
          <w:szCs w:val="24"/>
        </w:rPr>
        <w:t>50%</w:t>
      </w:r>
      <w:r w:rsidRPr="008B162B">
        <w:rPr>
          <w:rFonts w:ascii="Times New Roman" w:eastAsia="標楷體" w:hAnsi="Times New Roman" w:hint="eastAsia"/>
          <w:szCs w:val="24"/>
        </w:rPr>
        <w:t>，分別標示</w:t>
      </w:r>
      <w:r w:rsidRPr="00347D56">
        <w:rPr>
          <w:rFonts w:ascii="Times New Roman" w:eastAsia="標楷體" w:hAnsi="Times New Roman"/>
          <w:szCs w:val="24"/>
        </w:rPr>
        <w:t>A++</w:t>
      </w:r>
      <w:r w:rsidRPr="008B162B">
        <w:rPr>
          <w:rFonts w:ascii="Times New Roman" w:eastAsia="標楷體" w:hAnsi="Times New Roman" w:hint="eastAsia"/>
          <w:szCs w:val="24"/>
        </w:rPr>
        <w:t>（精熟等級前</w:t>
      </w:r>
      <w:r w:rsidRPr="00347D56">
        <w:rPr>
          <w:rFonts w:ascii="Times New Roman" w:eastAsia="標楷體" w:hAnsi="Times New Roman"/>
          <w:szCs w:val="24"/>
        </w:rPr>
        <w:t>25%</w:t>
      </w:r>
      <w:r w:rsidRPr="008B162B">
        <w:rPr>
          <w:rFonts w:ascii="Times New Roman" w:eastAsia="標楷體" w:hAnsi="Times New Roman" w:hint="eastAsia"/>
          <w:szCs w:val="24"/>
        </w:rPr>
        <w:t>）及</w:t>
      </w:r>
      <w:r w:rsidRPr="00347D56">
        <w:rPr>
          <w:rFonts w:ascii="Times New Roman" w:eastAsia="標楷體" w:hAnsi="Times New Roman"/>
          <w:szCs w:val="24"/>
        </w:rPr>
        <w:t>A+</w:t>
      </w:r>
      <w:r w:rsidRPr="008B162B">
        <w:rPr>
          <w:rFonts w:ascii="Times New Roman" w:eastAsia="標楷體" w:hAnsi="Times New Roman" w:hint="eastAsia"/>
          <w:szCs w:val="24"/>
        </w:rPr>
        <w:t>（精熟等級前</w:t>
      </w:r>
      <w:r w:rsidRPr="00347D56">
        <w:rPr>
          <w:rFonts w:ascii="Times New Roman" w:eastAsia="標楷體" w:hAnsi="Times New Roman"/>
          <w:szCs w:val="24"/>
        </w:rPr>
        <w:t>26%</w:t>
      </w:r>
      <w:r w:rsidRPr="008B162B">
        <w:rPr>
          <w:rFonts w:ascii="Times New Roman" w:eastAsia="標楷體" w:hAnsi="Times New Roman" w:hint="eastAsia"/>
          <w:szCs w:val="24"/>
        </w:rPr>
        <w:t>～</w:t>
      </w:r>
      <w:r w:rsidRPr="00347D56">
        <w:rPr>
          <w:rFonts w:ascii="Times New Roman" w:eastAsia="標楷體" w:hAnsi="Times New Roman"/>
          <w:szCs w:val="24"/>
        </w:rPr>
        <w:t>50%</w:t>
      </w:r>
      <w:r w:rsidRPr="008B162B">
        <w:rPr>
          <w:rFonts w:ascii="Times New Roman" w:eastAsia="標楷體" w:hAnsi="Times New Roman" w:hint="eastAsia"/>
          <w:szCs w:val="24"/>
        </w:rPr>
        <w:t>），並在基礎（</w:t>
      </w:r>
      <w:r w:rsidRPr="00347D56">
        <w:rPr>
          <w:rFonts w:ascii="Times New Roman" w:eastAsia="標楷體" w:hAnsi="Times New Roman"/>
          <w:szCs w:val="24"/>
        </w:rPr>
        <w:t>B</w:t>
      </w:r>
      <w:r w:rsidRPr="008B162B">
        <w:rPr>
          <w:rFonts w:ascii="Times New Roman" w:eastAsia="標楷體" w:hAnsi="Times New Roman" w:hint="eastAsia"/>
          <w:szCs w:val="24"/>
        </w:rPr>
        <w:t>）等級前</w:t>
      </w:r>
      <w:r w:rsidRPr="00347D56">
        <w:rPr>
          <w:rFonts w:ascii="Times New Roman" w:eastAsia="標楷體" w:hAnsi="Times New Roman"/>
          <w:szCs w:val="24"/>
        </w:rPr>
        <w:t>50%</w:t>
      </w:r>
      <w:r w:rsidRPr="008B162B">
        <w:rPr>
          <w:rFonts w:ascii="Times New Roman" w:eastAsia="標楷體" w:hAnsi="Times New Roman" w:hint="eastAsia"/>
          <w:szCs w:val="24"/>
        </w:rPr>
        <w:t>，分別標示</w:t>
      </w:r>
      <w:r w:rsidRPr="00347D56">
        <w:rPr>
          <w:rFonts w:ascii="Times New Roman" w:eastAsia="標楷體" w:hAnsi="Times New Roman"/>
          <w:szCs w:val="24"/>
        </w:rPr>
        <w:t>B++</w:t>
      </w:r>
      <w:r w:rsidRPr="008B162B">
        <w:rPr>
          <w:rFonts w:ascii="Times New Roman" w:eastAsia="標楷體" w:hAnsi="Times New Roman" w:hint="eastAsia"/>
          <w:szCs w:val="24"/>
        </w:rPr>
        <w:t>（基礎等級前</w:t>
      </w:r>
      <w:r w:rsidRPr="00347D56">
        <w:rPr>
          <w:rFonts w:ascii="Times New Roman" w:eastAsia="標楷體" w:hAnsi="Times New Roman"/>
          <w:szCs w:val="24"/>
        </w:rPr>
        <w:t>25%</w:t>
      </w:r>
      <w:r w:rsidRPr="008B162B">
        <w:rPr>
          <w:rFonts w:ascii="Times New Roman" w:eastAsia="標楷體" w:hAnsi="Times New Roman" w:hint="eastAsia"/>
          <w:szCs w:val="24"/>
        </w:rPr>
        <w:t>）及</w:t>
      </w:r>
      <w:r w:rsidRPr="00347D56">
        <w:rPr>
          <w:rFonts w:ascii="Times New Roman" w:eastAsia="標楷體" w:hAnsi="Times New Roman"/>
          <w:szCs w:val="24"/>
        </w:rPr>
        <w:t>B+</w:t>
      </w:r>
      <w:r w:rsidRPr="008B162B">
        <w:rPr>
          <w:rFonts w:ascii="Times New Roman" w:eastAsia="標楷體" w:hAnsi="Times New Roman" w:hint="eastAsia"/>
          <w:szCs w:val="24"/>
        </w:rPr>
        <w:t>（基礎等級前</w:t>
      </w:r>
      <w:r w:rsidRPr="00347D56">
        <w:rPr>
          <w:rFonts w:ascii="Times New Roman" w:eastAsia="標楷體" w:hAnsi="Times New Roman"/>
          <w:szCs w:val="24"/>
        </w:rPr>
        <w:t>26%</w:t>
      </w:r>
      <w:r w:rsidRPr="008B162B">
        <w:rPr>
          <w:rFonts w:ascii="Times New Roman" w:eastAsia="標楷體" w:hAnsi="Times New Roman" w:hint="eastAsia"/>
          <w:szCs w:val="24"/>
        </w:rPr>
        <w:t>～</w:t>
      </w:r>
      <w:r w:rsidRPr="00347D56">
        <w:rPr>
          <w:rFonts w:ascii="Times New Roman" w:eastAsia="標楷體" w:hAnsi="Times New Roman"/>
          <w:szCs w:val="24"/>
        </w:rPr>
        <w:t>50%</w:t>
      </w:r>
      <w:r w:rsidRPr="008B162B">
        <w:rPr>
          <w:rFonts w:ascii="Times New Roman" w:eastAsia="標楷體" w:hAnsi="Times New Roman" w:hint="eastAsia"/>
          <w:szCs w:val="24"/>
        </w:rPr>
        <w:t>）</w:t>
      </w:r>
      <w:r>
        <w:rPr>
          <w:rFonts w:ascii="Times New Roman" w:eastAsia="標楷體" w:hAnsi="Times New Roman" w:hint="eastAsia"/>
          <w:szCs w:val="24"/>
        </w:rPr>
        <w:t>。</w:t>
      </w:r>
      <w:r w:rsidRPr="00EF1DB4">
        <w:rPr>
          <w:rFonts w:ascii="Times New Roman" w:eastAsia="標楷體" w:hAnsi="Times New Roman" w:hint="eastAsia"/>
          <w:szCs w:val="24"/>
        </w:rPr>
        <w:t>以</w:t>
      </w:r>
      <w:r w:rsidRPr="00EF1DB4">
        <w:rPr>
          <w:rFonts w:ascii="Times New Roman" w:eastAsia="標楷體" w:hAnsi="Times New Roman"/>
          <w:szCs w:val="24"/>
        </w:rPr>
        <w:t>102</w:t>
      </w:r>
      <w:r w:rsidRPr="00EF1DB4">
        <w:rPr>
          <w:rFonts w:ascii="Times New Roman" w:eastAsia="標楷體" w:hAnsi="Times New Roman" w:hint="eastAsia"/>
          <w:szCs w:val="24"/>
        </w:rPr>
        <w:t>年試辦國中教育會考為例，免考聽力之聽障生其英語科等級加標示計算結果如表一所列，</w:t>
      </w:r>
      <w:r>
        <w:rPr>
          <w:rFonts w:ascii="Times New Roman" w:eastAsia="標楷體" w:hAnsi="Times New Roman" w:hint="eastAsia"/>
          <w:szCs w:val="24"/>
        </w:rPr>
        <w:t>其他應試聽力測驗之聽障生英語科成績計分方式則比照一般考生，詳細計算方式請參考下列說明。</w:t>
      </w:r>
    </w:p>
    <w:p w:rsidR="004C428F" w:rsidRPr="00D03DCF" w:rsidRDefault="004C428F" w:rsidP="0063779A">
      <w:pPr>
        <w:spacing w:beforeLines="50"/>
        <w:ind w:left="960"/>
        <w:jc w:val="center"/>
        <w:rPr>
          <w:rFonts w:ascii="Times New Roman" w:eastAsia="標楷體" w:hAnsi="標楷體"/>
        </w:rPr>
      </w:pPr>
      <w:r>
        <w:rPr>
          <w:rFonts w:ascii="Times New Roman" w:eastAsia="標楷體" w:hAnsi="標楷體" w:hint="eastAsia"/>
        </w:rPr>
        <w:t>表一、免考聽力之聽障生英語科能力等級加標示與閱讀答對題數</w:t>
      </w:r>
      <w:r w:rsidRPr="000F59D9">
        <w:rPr>
          <w:rFonts w:ascii="Times New Roman" w:eastAsia="標楷體" w:hAnsi="標楷體" w:hint="eastAsia"/>
        </w:rPr>
        <w:t>對照表</w:t>
      </w:r>
    </w:p>
    <w:tbl>
      <w:tblPr>
        <w:tblW w:w="0" w:type="auto"/>
        <w:jc w:val="center"/>
        <w:tblCellMar>
          <w:left w:w="28" w:type="dxa"/>
          <w:right w:w="28" w:type="dxa"/>
        </w:tblCellMar>
        <w:tblLook w:val="00A0"/>
      </w:tblPr>
      <w:tblGrid>
        <w:gridCol w:w="776"/>
        <w:gridCol w:w="536"/>
        <w:gridCol w:w="616"/>
        <w:gridCol w:w="616"/>
      </w:tblGrid>
      <w:tr w:rsidR="004C428F" w:rsidRPr="00DD44C2" w:rsidTr="00DE25A3">
        <w:trPr>
          <w:trHeight w:val="330"/>
          <w:jc w:val="center"/>
        </w:trPr>
        <w:tc>
          <w:tcPr>
            <w:tcW w:w="0" w:type="auto"/>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DD44C2" w:rsidRDefault="004C428F" w:rsidP="00DE25A3">
            <w:pPr>
              <w:widowControl/>
              <w:jc w:val="center"/>
              <w:rPr>
                <w:rFonts w:ascii="Times New Roman" w:eastAsia="標楷體" w:hAnsi="Times New Roman"/>
                <w:color w:val="000000"/>
                <w:kern w:val="0"/>
                <w:szCs w:val="24"/>
              </w:rPr>
            </w:pPr>
            <w:r w:rsidRPr="00DD44C2">
              <w:rPr>
                <w:rFonts w:ascii="Times New Roman" w:eastAsia="標楷體" w:hAnsi="標楷體" w:hint="eastAsia"/>
                <w:color w:val="000000"/>
                <w:kern w:val="0"/>
                <w:szCs w:val="24"/>
              </w:rPr>
              <w:t>等級</w:t>
            </w:r>
          </w:p>
        </w:tc>
        <w:tc>
          <w:tcPr>
            <w:tcW w:w="0" w:type="auto"/>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DD44C2" w:rsidRDefault="004C428F" w:rsidP="00DE25A3">
            <w:pPr>
              <w:widowControl/>
              <w:jc w:val="center"/>
              <w:rPr>
                <w:rFonts w:ascii="Times New Roman" w:eastAsia="標楷體" w:hAnsi="Times New Roman"/>
                <w:color w:val="000000"/>
                <w:kern w:val="0"/>
                <w:szCs w:val="24"/>
              </w:rPr>
            </w:pPr>
            <w:r w:rsidRPr="00DD44C2">
              <w:rPr>
                <w:rFonts w:ascii="Times New Roman" w:eastAsia="標楷體" w:hAnsi="標楷體" w:hint="eastAsia"/>
                <w:color w:val="000000"/>
              </w:rPr>
              <w:t>標示</w:t>
            </w:r>
          </w:p>
        </w:tc>
        <w:tc>
          <w:tcPr>
            <w:tcW w:w="0" w:type="auto"/>
            <w:gridSpan w:val="2"/>
            <w:tcBorders>
              <w:top w:val="single" w:sz="12" w:space="0" w:color="auto"/>
              <w:left w:val="single" w:sz="4" w:space="0" w:color="auto"/>
              <w:bottom w:val="single" w:sz="4" w:space="0" w:color="auto"/>
              <w:right w:val="single" w:sz="4" w:space="0" w:color="auto"/>
            </w:tcBorders>
            <w:vAlign w:val="center"/>
          </w:tcPr>
          <w:p w:rsidR="004C428F" w:rsidRPr="00DD44C2" w:rsidRDefault="004C428F" w:rsidP="00DD5C22">
            <w:pPr>
              <w:widowControl/>
              <w:jc w:val="center"/>
              <w:rPr>
                <w:rFonts w:ascii="Times New Roman" w:eastAsia="標楷體" w:hAnsi="Times New Roman"/>
                <w:color w:val="000000"/>
              </w:rPr>
            </w:pPr>
            <w:r w:rsidRPr="00DD44C2">
              <w:rPr>
                <w:rFonts w:ascii="Times New Roman" w:eastAsia="標楷體" w:hAnsi="標楷體" w:hint="eastAsia"/>
                <w:color w:val="000000"/>
                <w:kern w:val="0"/>
                <w:szCs w:val="24"/>
              </w:rPr>
              <w:t>答對題數</w:t>
            </w:r>
          </w:p>
        </w:tc>
      </w:tr>
      <w:tr w:rsidR="004C428F" w:rsidRPr="00EA5498" w:rsidTr="00DE25A3">
        <w:trPr>
          <w:trHeight w:val="330"/>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標楷體" w:hint="eastAsia"/>
                <w:kern w:val="0"/>
                <w:szCs w:val="24"/>
              </w:rPr>
              <w:t>精熟</w:t>
            </w:r>
          </w:p>
        </w:tc>
        <w:tc>
          <w:tcPr>
            <w:tcW w:w="0" w:type="auto"/>
            <w:tcBorders>
              <w:top w:val="single" w:sz="12" w:space="0" w:color="auto"/>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A++</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34-40</w:t>
            </w:r>
          </w:p>
        </w:tc>
        <w:tc>
          <w:tcPr>
            <w:tcW w:w="0" w:type="auto"/>
            <w:tcBorders>
              <w:top w:val="single" w:sz="12" w:space="0" w:color="auto"/>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38-40</w:t>
            </w:r>
          </w:p>
        </w:tc>
      </w:tr>
      <w:tr w:rsidR="004C428F" w:rsidRPr="00EA5498" w:rsidTr="00DE25A3">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A+</w:t>
            </w:r>
          </w:p>
        </w:tc>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36-37</w:t>
            </w:r>
          </w:p>
        </w:tc>
      </w:tr>
      <w:tr w:rsidR="004C428F" w:rsidRPr="00EA5498" w:rsidTr="00DE25A3">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single" w:sz="4" w:space="0" w:color="auto"/>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single" w:sz="4" w:space="0" w:color="auto"/>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34-35</w:t>
            </w:r>
          </w:p>
        </w:tc>
      </w:tr>
      <w:tr w:rsidR="004C428F" w:rsidRPr="00EA5498" w:rsidTr="00DE25A3">
        <w:trPr>
          <w:trHeight w:val="330"/>
          <w:jc w:val="center"/>
        </w:trPr>
        <w:tc>
          <w:tcPr>
            <w:tcW w:w="0" w:type="auto"/>
            <w:vMerge w:val="restart"/>
            <w:tcBorders>
              <w:top w:val="nil"/>
              <w:left w:val="single" w:sz="4" w:space="0" w:color="auto"/>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標楷體" w:hint="eastAsia"/>
                <w:kern w:val="0"/>
                <w:szCs w:val="24"/>
              </w:rPr>
              <w:t>基礎</w:t>
            </w: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B++</w:t>
            </w:r>
          </w:p>
        </w:tc>
        <w:tc>
          <w:tcPr>
            <w:tcW w:w="0" w:type="auto"/>
            <w:vMerge w:val="restart"/>
            <w:tcBorders>
              <w:top w:val="nil"/>
              <w:left w:val="single" w:sz="4" w:space="0" w:color="auto"/>
              <w:bottom w:val="single" w:sz="4" w:space="0" w:color="auto"/>
              <w:right w:val="single" w:sz="4" w:space="0" w:color="auto"/>
            </w:tcBorders>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14-33</w:t>
            </w: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29-33</w:t>
            </w:r>
          </w:p>
        </w:tc>
      </w:tr>
      <w:tr w:rsidR="004C428F" w:rsidRPr="00EA5498" w:rsidTr="00DE25A3">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24-28</w:t>
            </w:r>
          </w:p>
        </w:tc>
      </w:tr>
      <w:tr w:rsidR="004C428F" w:rsidRPr="00EA5498" w:rsidTr="00DE25A3">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14-23</w:t>
            </w:r>
          </w:p>
        </w:tc>
      </w:tr>
      <w:tr w:rsidR="004C428F" w:rsidRPr="00EA5498" w:rsidTr="00DE25A3">
        <w:trPr>
          <w:trHeight w:val="330"/>
          <w:jc w:val="center"/>
        </w:trPr>
        <w:tc>
          <w:tcPr>
            <w:tcW w:w="0" w:type="auto"/>
            <w:tcBorders>
              <w:top w:val="nil"/>
              <w:left w:val="single" w:sz="4" w:space="0" w:color="auto"/>
              <w:bottom w:val="single" w:sz="12"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標楷體" w:hint="eastAsia"/>
                <w:kern w:val="0"/>
                <w:szCs w:val="24"/>
              </w:rPr>
              <w:t>待加強</w:t>
            </w:r>
          </w:p>
        </w:tc>
        <w:tc>
          <w:tcPr>
            <w:tcW w:w="0" w:type="auto"/>
            <w:tcBorders>
              <w:top w:val="nil"/>
              <w:left w:val="nil"/>
              <w:bottom w:val="single" w:sz="12"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C</w:t>
            </w:r>
          </w:p>
        </w:tc>
        <w:tc>
          <w:tcPr>
            <w:tcW w:w="0" w:type="auto"/>
            <w:gridSpan w:val="2"/>
            <w:tcBorders>
              <w:top w:val="single" w:sz="4" w:space="0" w:color="auto"/>
              <w:left w:val="nil"/>
              <w:bottom w:val="single" w:sz="12" w:space="0" w:color="auto"/>
              <w:right w:val="single" w:sz="4" w:space="0" w:color="auto"/>
            </w:tcBorders>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0-13</w:t>
            </w:r>
          </w:p>
        </w:tc>
      </w:tr>
    </w:tbl>
    <w:p w:rsidR="004C428F" w:rsidRPr="00EF1DB4" w:rsidRDefault="004C428F" w:rsidP="0063779A">
      <w:pPr>
        <w:pStyle w:val="ListParagraph"/>
        <w:spacing w:beforeLines="50"/>
        <w:ind w:leftChars="0" w:left="357"/>
        <w:rPr>
          <w:rFonts w:ascii="Times New Roman" w:eastAsia="標楷體" w:hAnsi="Times New Roman"/>
          <w:b/>
          <w:color w:val="000000"/>
          <w:sz w:val="28"/>
          <w:szCs w:val="28"/>
        </w:rPr>
      </w:pPr>
      <w:r w:rsidRPr="00EF1DB4">
        <w:rPr>
          <w:rFonts w:ascii="Times New Roman" w:eastAsia="標楷體" w:hAnsi="Times New Roman"/>
          <w:b/>
          <w:color w:val="000000"/>
          <w:sz w:val="28"/>
          <w:szCs w:val="28"/>
        </w:rPr>
        <w:t>104</w:t>
      </w:r>
      <w:r w:rsidRPr="00EF1DB4">
        <w:rPr>
          <w:rFonts w:ascii="Times New Roman" w:eastAsia="標楷體" w:hAnsi="Times New Roman" w:hint="eastAsia"/>
          <w:b/>
          <w:color w:val="000000"/>
          <w:sz w:val="28"/>
          <w:szCs w:val="28"/>
        </w:rPr>
        <w:t>年國中教育會考英語科計分說明</w:t>
      </w:r>
      <w:r>
        <w:rPr>
          <w:rFonts w:ascii="Times New Roman" w:eastAsia="標楷體" w:hAnsi="Times New Roman" w:hint="eastAsia"/>
          <w:b/>
          <w:color w:val="000000"/>
          <w:sz w:val="28"/>
          <w:szCs w:val="28"/>
        </w:rPr>
        <w:t>（一般生）</w:t>
      </w:r>
    </w:p>
    <w:p w:rsidR="004C428F" w:rsidRPr="00C65B32" w:rsidRDefault="004C428F" w:rsidP="0063779A">
      <w:pPr>
        <w:pStyle w:val="ListParagraph"/>
        <w:numPr>
          <w:ilvl w:val="0"/>
          <w:numId w:val="1"/>
        </w:numPr>
        <w:spacing w:beforeLines="50"/>
        <w:ind w:leftChars="0" w:left="357" w:hanging="357"/>
        <w:rPr>
          <w:rFonts w:ascii="Times New Roman" w:eastAsia="標楷體" w:hAnsi="Times New Roman"/>
          <w:color w:val="000000"/>
        </w:rPr>
      </w:pPr>
      <w:r w:rsidRPr="00C65B32">
        <w:rPr>
          <w:rFonts w:ascii="Times New Roman" w:eastAsia="標楷體" w:hAnsi="標楷體" w:hint="eastAsia"/>
          <w:color w:val="000000"/>
        </w:rPr>
        <w:t>由於每年度的測驗題數不一定相同，以下說明以</w:t>
      </w:r>
      <w:r w:rsidRPr="00C65B32">
        <w:rPr>
          <w:rFonts w:ascii="Times New Roman" w:eastAsia="標楷體" w:hAnsi="標楷體"/>
          <w:color w:val="000000"/>
        </w:rPr>
        <w:t>102</w:t>
      </w:r>
      <w:r w:rsidRPr="00C65B32">
        <w:rPr>
          <w:rFonts w:ascii="Times New Roman" w:eastAsia="標楷體" w:hAnsi="標楷體" w:hint="eastAsia"/>
          <w:color w:val="000000"/>
        </w:rPr>
        <w:t>年試辦國中教育會考為例：</w:t>
      </w:r>
      <w:r w:rsidRPr="00C65B32">
        <w:rPr>
          <w:rFonts w:ascii="Times New Roman" w:eastAsia="標楷體" w:hAnsi="標楷體" w:hint="eastAsia"/>
          <w:color w:val="000000"/>
          <w:szCs w:val="24"/>
        </w:rPr>
        <w:t>總題數為</w:t>
      </w:r>
      <w:r w:rsidRPr="00C65B32">
        <w:rPr>
          <w:rFonts w:ascii="Times New Roman" w:eastAsia="標楷體" w:hAnsi="Times New Roman"/>
          <w:color w:val="000000"/>
          <w:szCs w:val="24"/>
        </w:rPr>
        <w:t>60</w:t>
      </w:r>
      <w:r w:rsidRPr="00C65B32">
        <w:rPr>
          <w:rFonts w:ascii="Times New Roman" w:eastAsia="標楷體" w:hAnsi="標楷體" w:hint="eastAsia"/>
          <w:color w:val="000000"/>
          <w:szCs w:val="24"/>
        </w:rPr>
        <w:t>題，其中聽力試題共</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題，閱讀試題共</w:t>
      </w:r>
      <w:r w:rsidRPr="00C65B32">
        <w:rPr>
          <w:rFonts w:ascii="Times New Roman" w:eastAsia="標楷體" w:hAnsi="Times New Roman"/>
          <w:color w:val="000000"/>
          <w:szCs w:val="24"/>
        </w:rPr>
        <w:t>40</w:t>
      </w:r>
      <w:r w:rsidRPr="00C65B32">
        <w:rPr>
          <w:rFonts w:ascii="Times New Roman" w:eastAsia="標楷體" w:hAnsi="標楷體" w:hint="eastAsia"/>
          <w:color w:val="000000"/>
          <w:szCs w:val="24"/>
        </w:rPr>
        <w:t>題</w:t>
      </w:r>
      <w:r w:rsidRPr="00C65B32">
        <w:rPr>
          <w:rFonts w:ascii="Times New Roman" w:eastAsia="標楷體" w:hAnsi="標楷體" w:hint="eastAsia"/>
          <w:color w:val="000000"/>
        </w:rPr>
        <w:t>。</w:t>
      </w:r>
    </w:p>
    <w:p w:rsidR="004C428F" w:rsidRPr="00C65B32" w:rsidRDefault="004C428F" w:rsidP="0063779A">
      <w:pPr>
        <w:pStyle w:val="ListParagraph"/>
        <w:numPr>
          <w:ilvl w:val="0"/>
          <w:numId w:val="1"/>
        </w:numPr>
        <w:spacing w:beforeLines="50"/>
        <w:ind w:leftChars="0" w:left="357" w:hanging="357"/>
        <w:rPr>
          <w:rFonts w:ascii="Times New Roman" w:eastAsia="標楷體" w:hAnsi="Times New Roman"/>
          <w:color w:val="000000"/>
        </w:rPr>
      </w:pPr>
      <w:r w:rsidRPr="00C65B32">
        <w:rPr>
          <w:rFonts w:ascii="Times New Roman" w:eastAsia="標楷體" w:hAnsi="標楷體" w:hint="eastAsia"/>
          <w:color w:val="000000"/>
        </w:rPr>
        <w:t>由於每年度考後的能力等級切點題數設定結果不一定相同，將由當年標準設定計分會議決定，以下表設定結果為例。</w:t>
      </w:r>
    </w:p>
    <w:p w:rsidR="004C428F" w:rsidRPr="00C65B32" w:rsidRDefault="004C428F" w:rsidP="0063779A">
      <w:pPr>
        <w:pStyle w:val="ListParagraph"/>
        <w:spacing w:beforeLines="50"/>
        <w:ind w:leftChars="0" w:left="0"/>
        <w:rPr>
          <w:rFonts w:ascii="Times New Roman" w:eastAsia="標楷體" w:hAnsi="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3"/>
        <w:gridCol w:w="2347"/>
        <w:gridCol w:w="2041"/>
        <w:gridCol w:w="2041"/>
      </w:tblGrid>
      <w:tr w:rsidR="004C428F" w:rsidRPr="00C65B32" w:rsidTr="00CA322C">
        <w:trPr>
          <w:jc w:val="center"/>
        </w:trPr>
        <w:tc>
          <w:tcPr>
            <w:tcW w:w="1733" w:type="dxa"/>
            <w:vMerge w:val="restart"/>
            <w:shd w:val="clear" w:color="auto" w:fill="D9D9D9"/>
            <w:vAlign w:val="center"/>
          </w:tcPr>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聽力</w:t>
            </w:r>
          </w:p>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（共</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w:t>
            </w:r>
          </w:p>
        </w:tc>
        <w:tc>
          <w:tcPr>
            <w:tcW w:w="4388" w:type="dxa"/>
            <w:gridSpan w:val="2"/>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基礎（含以上）</w:t>
            </w:r>
          </w:p>
        </w:tc>
        <w:tc>
          <w:tcPr>
            <w:tcW w:w="2041"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待加強</w:t>
            </w:r>
          </w:p>
        </w:tc>
      </w:tr>
      <w:tr w:rsidR="004C428F" w:rsidRPr="00C65B32" w:rsidTr="00CA322C">
        <w:trPr>
          <w:jc w:val="center"/>
        </w:trPr>
        <w:tc>
          <w:tcPr>
            <w:tcW w:w="1733" w:type="dxa"/>
            <w:vMerge/>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p>
        </w:tc>
        <w:tc>
          <w:tcPr>
            <w:tcW w:w="4388" w:type="dxa"/>
            <w:gridSpan w:val="2"/>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15-20</w:t>
            </w:r>
            <w:r w:rsidRPr="00C65B32">
              <w:rPr>
                <w:rFonts w:ascii="Times New Roman" w:eastAsia="標楷體" w:hAnsi="標楷體" w:hint="eastAsia"/>
                <w:color w:val="000000"/>
                <w:szCs w:val="24"/>
              </w:rPr>
              <w:t>題</w:t>
            </w:r>
          </w:p>
        </w:tc>
        <w:tc>
          <w:tcPr>
            <w:tcW w:w="2041"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0-14</w:t>
            </w:r>
            <w:r w:rsidRPr="00C65B32">
              <w:rPr>
                <w:rFonts w:ascii="Times New Roman" w:eastAsia="標楷體" w:hAnsi="標楷體" w:hint="eastAsia"/>
                <w:color w:val="000000"/>
                <w:szCs w:val="24"/>
              </w:rPr>
              <w:t>題</w:t>
            </w:r>
          </w:p>
        </w:tc>
      </w:tr>
      <w:tr w:rsidR="004C428F" w:rsidRPr="00C65B32" w:rsidTr="00CA322C">
        <w:trPr>
          <w:jc w:val="center"/>
        </w:trPr>
        <w:tc>
          <w:tcPr>
            <w:tcW w:w="1733" w:type="dxa"/>
            <w:vMerge w:val="restart"/>
            <w:shd w:val="clear" w:color="auto" w:fill="D9D9D9"/>
            <w:vAlign w:val="center"/>
          </w:tcPr>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閱讀</w:t>
            </w:r>
          </w:p>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（共</w:t>
            </w:r>
            <w:r w:rsidRPr="00C65B32">
              <w:rPr>
                <w:rFonts w:ascii="Times New Roman" w:eastAsia="標楷體" w:hAnsi="Times New Roman"/>
                <w:color w:val="000000"/>
                <w:szCs w:val="24"/>
              </w:rPr>
              <w:t>40</w:t>
            </w:r>
            <w:r w:rsidRPr="00C65B32">
              <w:rPr>
                <w:rFonts w:ascii="Times New Roman" w:eastAsia="標楷體" w:hAnsi="標楷體" w:hint="eastAsia"/>
                <w:color w:val="000000"/>
                <w:szCs w:val="24"/>
              </w:rPr>
              <w:t>題）</w:t>
            </w:r>
          </w:p>
        </w:tc>
        <w:tc>
          <w:tcPr>
            <w:tcW w:w="2347"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精熟</w:t>
            </w:r>
          </w:p>
        </w:tc>
        <w:tc>
          <w:tcPr>
            <w:tcW w:w="2041"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基礎</w:t>
            </w:r>
          </w:p>
        </w:tc>
        <w:tc>
          <w:tcPr>
            <w:tcW w:w="2041"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待加強</w:t>
            </w:r>
          </w:p>
        </w:tc>
      </w:tr>
      <w:tr w:rsidR="004C428F" w:rsidRPr="00C65B32" w:rsidTr="00CA322C">
        <w:trPr>
          <w:jc w:val="center"/>
        </w:trPr>
        <w:tc>
          <w:tcPr>
            <w:tcW w:w="1733" w:type="dxa"/>
            <w:vMerge/>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p>
        </w:tc>
        <w:tc>
          <w:tcPr>
            <w:tcW w:w="2347"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34-40</w:t>
            </w:r>
            <w:r w:rsidRPr="00C65B32">
              <w:rPr>
                <w:rFonts w:ascii="Times New Roman" w:eastAsia="標楷體" w:hAnsi="標楷體" w:hint="eastAsia"/>
                <w:color w:val="000000"/>
                <w:szCs w:val="24"/>
              </w:rPr>
              <w:t>題</w:t>
            </w:r>
          </w:p>
        </w:tc>
        <w:tc>
          <w:tcPr>
            <w:tcW w:w="2041"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14-33</w:t>
            </w:r>
            <w:r w:rsidRPr="00C65B32">
              <w:rPr>
                <w:rFonts w:ascii="Times New Roman" w:eastAsia="標楷體" w:hAnsi="標楷體" w:hint="eastAsia"/>
                <w:color w:val="000000"/>
                <w:szCs w:val="24"/>
              </w:rPr>
              <w:t>題</w:t>
            </w:r>
          </w:p>
        </w:tc>
        <w:tc>
          <w:tcPr>
            <w:tcW w:w="2041"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0-13</w:t>
            </w:r>
            <w:r w:rsidRPr="00C65B32">
              <w:rPr>
                <w:rFonts w:ascii="Times New Roman" w:eastAsia="標楷體" w:hAnsi="標楷體" w:hint="eastAsia"/>
                <w:color w:val="000000"/>
                <w:szCs w:val="24"/>
              </w:rPr>
              <w:t>題</w:t>
            </w:r>
          </w:p>
        </w:tc>
      </w:tr>
    </w:tbl>
    <w:p w:rsidR="004C428F" w:rsidRPr="00C65B32" w:rsidRDefault="004C428F" w:rsidP="0063779A">
      <w:pPr>
        <w:pStyle w:val="1"/>
        <w:numPr>
          <w:ilvl w:val="0"/>
          <w:numId w:val="1"/>
        </w:numPr>
        <w:spacing w:beforeLines="100"/>
        <w:ind w:leftChars="0" w:left="357" w:hanging="357"/>
        <w:rPr>
          <w:rFonts w:ascii="Times New Roman" w:eastAsia="標楷體" w:hAnsi="Times New Roman"/>
          <w:color w:val="000000"/>
          <w:szCs w:val="24"/>
        </w:rPr>
      </w:pPr>
      <w:r w:rsidRPr="00C65B32">
        <w:rPr>
          <w:rFonts w:ascii="Times New Roman" w:eastAsia="標楷體" w:hAnsi="標楷體" w:hint="eastAsia"/>
          <w:color w:val="000000"/>
          <w:szCs w:val="24"/>
        </w:rPr>
        <w:t>考量聽力為新增之評量項目，為避免造成考生不必要之緊張，誤以為必須去補習聽力，所以目前決定聽力之比重不宜太高，有需要的話，日後計分比重將採逐步漸進之方式，</w:t>
      </w:r>
      <w:r w:rsidRPr="00C65B32">
        <w:rPr>
          <w:rFonts w:ascii="Times New Roman" w:eastAsia="標楷體" w:hAnsi="標楷體" w:hint="eastAsia"/>
          <w:color w:val="000000"/>
        </w:rPr>
        <w:t>本說明先</w:t>
      </w:r>
      <w:r w:rsidRPr="00C65B32">
        <w:rPr>
          <w:rFonts w:ascii="Times New Roman" w:eastAsia="標楷體" w:hAnsi="標楷體" w:hint="eastAsia"/>
          <w:color w:val="000000"/>
          <w:szCs w:val="24"/>
        </w:rPr>
        <w:t>以「聽力占</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％，閱讀占</w:t>
      </w:r>
      <w:r w:rsidRPr="00C65B32">
        <w:rPr>
          <w:rFonts w:ascii="Times New Roman" w:eastAsia="標楷體" w:hAnsi="Times New Roman"/>
          <w:color w:val="000000"/>
          <w:szCs w:val="24"/>
        </w:rPr>
        <w:t>80</w:t>
      </w:r>
      <w:r w:rsidRPr="00C65B32">
        <w:rPr>
          <w:rFonts w:ascii="Times New Roman" w:eastAsia="標楷體" w:hAnsi="標楷體" w:hint="eastAsia"/>
          <w:color w:val="000000"/>
          <w:szCs w:val="24"/>
        </w:rPr>
        <w:t>％」作為加權比重</w:t>
      </w:r>
      <w:r w:rsidRPr="00C65B32">
        <w:rPr>
          <w:rFonts w:ascii="Times New Roman" w:eastAsia="標楷體" w:hAnsi="標楷體" w:hint="eastAsia"/>
          <w:color w:val="000000"/>
        </w:rPr>
        <w:t>的方式，解釋如何進行</w:t>
      </w:r>
      <w:r w:rsidRPr="00C65B32">
        <w:rPr>
          <w:rFonts w:ascii="Times New Roman" w:eastAsia="標楷體" w:hAnsi="標楷體" w:hint="eastAsia"/>
          <w:color w:val="000000"/>
          <w:szCs w:val="24"/>
        </w:rPr>
        <w:t>計算轉換。</w:t>
      </w:r>
    </w:p>
    <w:p w:rsidR="004C428F" w:rsidRPr="00C65B32" w:rsidRDefault="004C428F" w:rsidP="00D57939">
      <w:pPr>
        <w:pStyle w:val="1"/>
        <w:numPr>
          <w:ilvl w:val="0"/>
          <w:numId w:val="1"/>
        </w:numPr>
        <w:spacing w:beforeLines="50"/>
        <w:ind w:leftChars="0" w:left="357" w:hanging="357"/>
        <w:rPr>
          <w:rFonts w:ascii="Times New Roman" w:eastAsia="標楷體" w:hAnsi="Times New Roman"/>
          <w:color w:val="000000"/>
          <w:szCs w:val="24"/>
        </w:rPr>
      </w:pPr>
      <w:r w:rsidRPr="00C65B32">
        <w:rPr>
          <w:rFonts w:ascii="Times New Roman" w:eastAsia="標楷體" w:hAnsi="標楷體" w:hint="eastAsia"/>
          <w:color w:val="000000"/>
          <w:szCs w:val="24"/>
        </w:rPr>
        <w:t>承上，加權分數為依聽力比重佔</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％的情況下，英語科整體能力加權分數公式為（聽力答對題數</w:t>
      </w:r>
      <w:r w:rsidRPr="00C65B32">
        <w:rPr>
          <w:rFonts w:ascii="Times New Roman" w:eastAsia="標楷體" w:hAnsi="Times New Roman"/>
          <w:color w:val="000000"/>
          <w:szCs w:val="24"/>
        </w:rPr>
        <w:t>/</w:t>
      </w:r>
      <w:r w:rsidRPr="00C65B32">
        <w:rPr>
          <w:rFonts w:ascii="Times New Roman" w:eastAsia="標楷體" w:hAnsi="標楷體" w:hint="eastAsia"/>
          <w:color w:val="000000"/>
          <w:szCs w:val="24"/>
        </w:rPr>
        <w:t>聽力總題數）</w:t>
      </w:r>
      <w:r w:rsidRPr="00C65B32">
        <w:rPr>
          <w:rFonts w:ascii="Times New Roman" w:eastAsia="標楷體" w:hAnsi="Times New Roman"/>
          <w:color w:val="000000"/>
          <w:szCs w:val="24"/>
        </w:rPr>
        <w:t>× 20 +</w:t>
      </w:r>
      <w:r w:rsidRPr="00C65B32">
        <w:rPr>
          <w:rFonts w:ascii="Times New Roman" w:eastAsia="標楷體" w:hAnsi="標楷體" w:hint="eastAsia"/>
          <w:color w:val="000000"/>
          <w:szCs w:val="24"/>
        </w:rPr>
        <w:t>（閱讀答對題數</w:t>
      </w:r>
      <w:r w:rsidRPr="00C65B32">
        <w:rPr>
          <w:rFonts w:ascii="Times New Roman" w:eastAsia="標楷體" w:hAnsi="Times New Roman"/>
          <w:color w:val="000000"/>
          <w:szCs w:val="24"/>
        </w:rPr>
        <w:t>/</w:t>
      </w:r>
      <w:r w:rsidRPr="00C65B32">
        <w:rPr>
          <w:rFonts w:ascii="Times New Roman" w:eastAsia="標楷體" w:hAnsi="標楷體" w:hint="eastAsia"/>
          <w:color w:val="000000"/>
          <w:szCs w:val="24"/>
        </w:rPr>
        <w:t>閱讀總題數）</w:t>
      </w:r>
      <w:r w:rsidRPr="00C65B32">
        <w:rPr>
          <w:rFonts w:ascii="Times New Roman" w:eastAsia="標楷體" w:hAnsi="Times New Roman"/>
          <w:color w:val="000000"/>
          <w:szCs w:val="24"/>
        </w:rPr>
        <w:t>× 80</w:t>
      </w:r>
      <w:r w:rsidRPr="00C65B32">
        <w:rPr>
          <w:rFonts w:ascii="Times New Roman" w:eastAsia="標楷體" w:hAnsi="標楷體" w:hint="eastAsia"/>
          <w:color w:val="000000"/>
          <w:szCs w:val="24"/>
        </w:rPr>
        <w:t>。</w:t>
      </w:r>
    </w:p>
    <w:p w:rsidR="004C428F" w:rsidRPr="00C65B32" w:rsidRDefault="004C428F" w:rsidP="0063779A">
      <w:pPr>
        <w:pStyle w:val="1"/>
        <w:numPr>
          <w:ilvl w:val="0"/>
          <w:numId w:val="1"/>
        </w:numPr>
        <w:spacing w:beforeLines="50"/>
        <w:ind w:leftChars="0"/>
        <w:rPr>
          <w:rFonts w:ascii="Times New Roman" w:eastAsia="標楷體" w:hAnsi="Times New Roman"/>
          <w:color w:val="000000"/>
          <w:szCs w:val="24"/>
        </w:rPr>
      </w:pPr>
      <w:r w:rsidRPr="00C65B32">
        <w:rPr>
          <w:rFonts w:ascii="Times New Roman" w:eastAsia="標楷體" w:hAnsi="標楷體" w:hint="eastAsia"/>
          <w:color w:val="000000"/>
          <w:szCs w:val="24"/>
        </w:rPr>
        <w:t>依此加權公式，利用前述所假設的聽力及閱讀基礎等級的最低答對題數（分別為</w:t>
      </w:r>
      <w:r w:rsidRPr="00C65B32">
        <w:rPr>
          <w:rFonts w:ascii="Times New Roman" w:eastAsia="標楷體" w:hAnsi="Times New Roman"/>
          <w:color w:val="000000"/>
          <w:szCs w:val="24"/>
        </w:rPr>
        <w:t>15</w:t>
      </w:r>
      <w:r w:rsidRPr="00C65B32">
        <w:rPr>
          <w:rFonts w:ascii="Times New Roman" w:eastAsia="標楷體" w:hAnsi="標楷體" w:hint="eastAsia"/>
          <w:color w:val="000000"/>
          <w:szCs w:val="24"/>
        </w:rPr>
        <w:t>題與</w:t>
      </w:r>
      <w:r w:rsidRPr="00C65B32">
        <w:rPr>
          <w:rFonts w:ascii="Times New Roman" w:eastAsia="標楷體" w:hAnsi="Times New Roman"/>
          <w:color w:val="000000"/>
          <w:szCs w:val="24"/>
        </w:rPr>
        <w:t>14</w:t>
      </w:r>
      <w:r w:rsidRPr="00C65B32">
        <w:rPr>
          <w:rFonts w:ascii="Times New Roman" w:eastAsia="標楷體" w:hAnsi="標楷體" w:hint="eastAsia"/>
          <w:color w:val="000000"/>
          <w:szCs w:val="24"/>
        </w:rPr>
        <w:t>題）、聽力</w:t>
      </w:r>
      <w:r w:rsidRPr="00C65B32">
        <w:rPr>
          <w:rStyle w:val="FootnoteReference"/>
          <w:rFonts w:ascii="Times New Roman" w:eastAsia="標楷體" w:hAnsi="Times New Roman"/>
          <w:color w:val="000000"/>
          <w:szCs w:val="24"/>
        </w:rPr>
        <w:footnoteReference w:id="2"/>
      </w:r>
      <w:r w:rsidRPr="00C65B32">
        <w:rPr>
          <w:rFonts w:ascii="Times New Roman" w:eastAsia="標楷體" w:hAnsi="標楷體" w:hint="eastAsia"/>
          <w:color w:val="000000"/>
          <w:szCs w:val="24"/>
        </w:rPr>
        <w:t>及閱讀精熟等級的最低答對題數（分別為</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題與</w:t>
      </w:r>
      <w:r w:rsidRPr="00C65B32">
        <w:rPr>
          <w:rFonts w:ascii="Times New Roman" w:eastAsia="標楷體" w:hAnsi="Times New Roman"/>
          <w:color w:val="000000"/>
          <w:szCs w:val="24"/>
        </w:rPr>
        <w:t>34</w:t>
      </w:r>
      <w:r w:rsidRPr="00C65B32">
        <w:rPr>
          <w:rFonts w:ascii="Times New Roman" w:eastAsia="標楷體" w:hAnsi="標楷體" w:hint="eastAsia"/>
          <w:color w:val="000000"/>
          <w:szCs w:val="24"/>
        </w:rPr>
        <w:t>題），計算得出英語科（聽力加閱讀）基礎能力等級最低加權分數為</w:t>
      </w:r>
      <w:r w:rsidRPr="00C65B32">
        <w:rPr>
          <w:rFonts w:ascii="Times New Roman" w:eastAsia="標楷體" w:hAnsi="Times New Roman"/>
          <w:color w:val="000000"/>
          <w:szCs w:val="24"/>
        </w:rPr>
        <w:t>43</w:t>
      </w:r>
      <w:r w:rsidRPr="00C65B32">
        <w:rPr>
          <w:rFonts w:ascii="Times New Roman" w:eastAsia="標楷體" w:hAnsi="標楷體" w:hint="eastAsia"/>
          <w:color w:val="000000"/>
          <w:szCs w:val="24"/>
        </w:rPr>
        <w:t>，精熟能力等級最低加權分數為</w:t>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；意即英語科基礎與待加強、基礎與精熟的切點加權分數分別為</w:t>
      </w:r>
      <w:r w:rsidRPr="00C65B32">
        <w:rPr>
          <w:rFonts w:ascii="Times New Roman" w:eastAsia="標楷體" w:hAnsi="Times New Roman"/>
          <w:color w:val="000000"/>
          <w:szCs w:val="24"/>
        </w:rPr>
        <w:t>43</w:t>
      </w:r>
      <w:r w:rsidRPr="00C65B32">
        <w:rPr>
          <w:rFonts w:ascii="Times New Roman" w:eastAsia="標楷體" w:hAnsi="Times New Roman"/>
          <w:color w:val="000000"/>
          <w:szCs w:val="24"/>
        </w:rPr>
        <w:fldChar w:fldCharType="begin"/>
      </w:r>
      <w:r w:rsidRPr="00C65B32">
        <w:rPr>
          <w:rFonts w:ascii="Times New Roman" w:eastAsia="標楷體" w:hAnsi="Times New Roman"/>
          <w:color w:val="000000"/>
          <w:szCs w:val="24"/>
        </w:rPr>
        <w:instrText xml:space="preserve"> QUOTE </w:instrText>
      </w:r>
      <w:r w:rsidRPr="00B927BA">
        <w:rPr>
          <w:rFonts w:ascii="Times New Roman" w:eastAsia="標楷體"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8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72D30&quot;/&gt;&lt;wsp:rsid wsp:val=&quot;0006689A&quot;/&gt;&lt;wsp:rsid wsp:val=&quot;00074730&quot;/&gt;&lt;wsp:rsid wsp:val=&quot;00113CE9&quot;/&gt;&lt;wsp:rsid wsp:val=&quot;001305AD&quot;/&gt;&lt;wsp:rsid wsp:val=&quot;00182DCF&quot;/&gt;&lt;wsp:rsid wsp:val=&quot;001E3522&quot;/&gt;&lt;wsp:rsid wsp:val=&quot;003C18AF&quot;/&gt;&lt;wsp:rsid wsp:val=&quot;005F31E7&quot;/&gt;&lt;wsp:rsid wsp:val=&quot;00640375&quot;/&gt;&lt;wsp:rsid wsp:val=&quot;00664F12&quot;/&gt;&lt;wsp:rsid wsp:val=&quot;0069581A&quot;/&gt;&lt;wsp:rsid wsp:val=&quot;00726D0A&quot;/&gt;&lt;wsp:rsid wsp:val=&quot;007B439B&quot;/&gt;&lt;wsp:rsid wsp:val=&quot;007C57EA&quot;/&gt;&lt;wsp:rsid wsp:val=&quot;00804C65&quot;/&gt;&lt;wsp:rsid wsp:val=&quot;00882656&quot;/&gt;&lt;wsp:rsid wsp:val=&quot;008F118E&quot;/&gt;&lt;wsp:rsid wsp:val=&quot;00912E19&quot;/&gt;&lt;wsp:rsid wsp:val=&quot;009146AD&quot;/&gt;&lt;wsp:rsid wsp:val=&quot;00940318&quot;/&gt;&lt;wsp:rsid wsp:val=&quot;0095365B&quot;/&gt;&lt;wsp:rsid wsp:val=&quot;00972D30&quot;/&gt;&lt;wsp:rsid wsp:val=&quot;009A5073&quot;/&gt;&lt;wsp:rsid wsp:val=&quot;009C0A38&quot;/&gt;&lt;wsp:rsid wsp:val=&quot;00A475B2&quot;/&gt;&lt;wsp:rsid wsp:val=&quot;00B52E52&quot;/&gt;&lt;wsp:rsid wsp:val=&quot;00C2129D&quot;/&gt;&lt;wsp:rsid wsp:val=&quot;00C23EA2&quot;/&gt;&lt;wsp:rsid wsp:val=&quot;00D17E74&quot;/&gt;&lt;wsp:rsid wsp:val=&quot;00DD0347&quot;/&gt;&lt;wsp:rsid wsp:val=&quot;00DE2159&quot;/&gt;&lt;wsp:rsid wsp:val=&quot;00E3754C&quot;/&gt;&lt;wsp:rsid wsp:val=&quot;00E971B3&quot;/&gt;&lt;wsp:rsid wsp:val=&quot;00F2568C&quot;/&gt;&lt;wsp:rsid wsp:val=&quot;00F56387&quot;/&gt;&lt;wsp:rsid wsp:val=&quot;00F57C8C&quot;/&gt;&lt;/wsp:rsids&gt;&lt;/w:docPr&gt;&lt;w:body&gt;&lt;w:p wsp:rsidR=&quot;00000000&quot; wsp:rsidRDefault=&quot;00E971B3&quot;&gt;&lt;m:oMathPara&gt;&lt;m:oMath&gt;&lt;m:r&gt;&lt;m:rPr&gt;&lt;m:sty m:val=&quot;p&quot;/&gt;&lt;/m:rPr&gt;&lt;w:rPr&gt;&lt;w:rFonts w:ascii=&quot;Times New Roman&quot; w:fareast=&quot;璅扑擃id wsp:val=&quot;00F56387&quot;/&gt;&lt;wsp:rsid">
            <v:imagedata r:id="rId7" o:title="" chromakey="white"/>
          </v:shape>
        </w:pict>
      </w:r>
      <w:r w:rsidRPr="00C65B32">
        <w:rPr>
          <w:rFonts w:ascii="Times New Roman" w:eastAsia="標楷體" w:hAnsi="Times New Roman"/>
          <w:color w:val="000000"/>
          <w:szCs w:val="24"/>
        </w:rPr>
        <w:instrText xml:space="preserve"> </w:instrText>
      </w:r>
      <w:r w:rsidRPr="00C65B32">
        <w:rPr>
          <w:rFonts w:ascii="Times New Roman" w:eastAsia="標楷體" w:hAnsi="Times New Roman"/>
          <w:color w:val="000000"/>
          <w:szCs w:val="24"/>
        </w:rPr>
        <w:fldChar w:fldCharType="separate"/>
      </w:r>
      <w:r w:rsidRPr="00C65B32">
        <w:rPr>
          <w:rFonts w:ascii="Times New Roman" w:eastAsia="標楷體" w:hAnsi="標楷體" w:hint="eastAsia"/>
          <w:color w:val="000000"/>
        </w:rPr>
        <w:t>及</w:t>
      </w:r>
      <w:r w:rsidRPr="00C65B32">
        <w:rPr>
          <w:rFonts w:ascii="Times New Roman" w:eastAsia="標楷體" w:hAnsi="Times New Roman"/>
          <w:color w:val="000000"/>
          <w:szCs w:val="24"/>
        </w:rPr>
        <w:fldChar w:fldCharType="end"/>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。若是考生之加權分數為</w:t>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以上，則其為精熟等級；加權分數為</w:t>
      </w:r>
      <w:r w:rsidRPr="00C65B32">
        <w:rPr>
          <w:rFonts w:ascii="Times New Roman" w:eastAsia="標楷體" w:hAnsi="Times New Roman"/>
          <w:color w:val="000000"/>
          <w:szCs w:val="24"/>
        </w:rPr>
        <w:t>43</w:t>
      </w:r>
      <w:r w:rsidRPr="00C65B32">
        <w:rPr>
          <w:rFonts w:ascii="Times New Roman" w:eastAsia="標楷體" w:hAnsi="標楷體" w:hint="eastAsia"/>
          <w:color w:val="000000"/>
          <w:szCs w:val="24"/>
        </w:rPr>
        <w:t>以上且未達</w:t>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，則其為基礎等級；加權分數未達</w:t>
      </w:r>
      <w:r w:rsidRPr="00C65B32">
        <w:rPr>
          <w:rFonts w:ascii="Times New Roman" w:eastAsia="標楷體" w:hAnsi="Times New Roman"/>
          <w:color w:val="000000"/>
          <w:szCs w:val="24"/>
        </w:rPr>
        <w:t>43</w:t>
      </w:r>
      <w:r w:rsidRPr="00C65B32">
        <w:rPr>
          <w:rFonts w:ascii="Times New Roman" w:eastAsia="標楷體" w:hAnsi="標楷體" w:hint="eastAsia"/>
          <w:color w:val="000000"/>
          <w:szCs w:val="24"/>
        </w:rPr>
        <w:t>，則其為待加強等級。</w:t>
      </w:r>
    </w:p>
    <w:p w:rsidR="004C428F" w:rsidRPr="00C65B32" w:rsidRDefault="004C428F" w:rsidP="00DD5C22">
      <w:pPr>
        <w:pStyle w:val="1"/>
        <w:numPr>
          <w:ilvl w:val="0"/>
          <w:numId w:val="1"/>
        </w:numPr>
        <w:tabs>
          <w:tab w:val="left" w:pos="284"/>
        </w:tabs>
        <w:spacing w:beforeLines="50"/>
        <w:ind w:leftChars="0" w:left="720" w:hanging="720"/>
        <w:rPr>
          <w:rFonts w:ascii="Times New Roman" w:eastAsia="標楷體" w:hAnsi="Times New Roman"/>
          <w:color w:val="000000"/>
          <w:szCs w:val="24"/>
        </w:rPr>
      </w:pPr>
      <w:r w:rsidRPr="00C65B32">
        <w:rPr>
          <w:rFonts w:ascii="Times New Roman" w:eastAsia="標楷體" w:hAnsi="Times New Roman"/>
          <w:color w:val="000000"/>
          <w:szCs w:val="24"/>
        </w:rPr>
        <w:t xml:space="preserve"> (1)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28</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(20/20) ×20 + (28 /40)×80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76</w:t>
      </w:r>
      <w:r w:rsidRPr="00C65B32">
        <w:rPr>
          <w:rFonts w:ascii="Times New Roman" w:eastAsia="標楷體" w:hAnsi="標楷體" w:hint="eastAsia"/>
          <w:color w:val="000000"/>
          <w:szCs w:val="24"/>
        </w:rPr>
        <w:t>，該考生拿到的成績結果為</w:t>
      </w:r>
    </w:p>
    <w:p w:rsidR="004C428F" w:rsidRPr="00C65B32" w:rsidRDefault="004C428F" w:rsidP="0063779A">
      <w:pPr>
        <w:pStyle w:val="1"/>
        <w:spacing w:beforeLines="50"/>
        <w:ind w:leftChars="-4" w:left="-10" w:firstLineChars="400" w:firstLine="960"/>
        <w:rPr>
          <w:rFonts w:ascii="Times New Roman" w:eastAsia="標楷體" w:hAnsi="Times New Roman"/>
          <w:color w:val="000000"/>
          <w:szCs w:val="24"/>
        </w:rPr>
      </w:pPr>
      <w:r w:rsidRPr="00C65B32">
        <w:rPr>
          <w:rFonts w:ascii="Times New Roman" w:eastAsia="標楷體" w:hAnsi="標楷體" w:hint="eastAsia"/>
          <w:color w:val="000000"/>
          <w:szCs w:val="24"/>
        </w:rPr>
        <w:t>聽力：基礎（含以上），閱讀：基礎，英語科：基礎。</w:t>
      </w:r>
    </w:p>
    <w:p w:rsidR="004C428F" w:rsidRPr="00C65B32" w:rsidRDefault="004C428F" w:rsidP="0063779A">
      <w:pPr>
        <w:pStyle w:val="1"/>
        <w:spacing w:beforeLines="50"/>
        <w:ind w:leftChars="196" w:left="950" w:hangingChars="200" w:hanging="480"/>
        <w:rPr>
          <w:rFonts w:ascii="Times New Roman" w:eastAsia="標楷體" w:hAnsi="Times New Roman"/>
          <w:color w:val="000000"/>
          <w:szCs w:val="24"/>
        </w:rPr>
      </w:pPr>
      <w:r w:rsidRPr="00C65B32">
        <w:rPr>
          <w:rFonts w:ascii="Times New Roman" w:eastAsia="標楷體" w:hAnsi="Times New Roman"/>
          <w:color w:val="000000"/>
          <w:szCs w:val="24"/>
        </w:rPr>
        <w:t xml:space="preserve">(2)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9</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39</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(9/20) ×20 + (39 /40)×80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87</w:t>
      </w:r>
      <w:r w:rsidRPr="00C65B32">
        <w:rPr>
          <w:rFonts w:ascii="Times New Roman" w:eastAsia="標楷體" w:hAnsi="標楷體" w:hint="eastAsia"/>
          <w:color w:val="000000"/>
          <w:szCs w:val="24"/>
        </w:rPr>
        <w:t>，該考生拿到的成績結果為</w:t>
      </w:r>
    </w:p>
    <w:p w:rsidR="004C428F" w:rsidRPr="00C65B32" w:rsidRDefault="004C428F" w:rsidP="0063779A">
      <w:pPr>
        <w:pStyle w:val="1"/>
        <w:spacing w:beforeLines="50"/>
        <w:ind w:leftChars="396" w:left="950"/>
        <w:rPr>
          <w:rFonts w:ascii="Times New Roman" w:eastAsia="標楷體" w:hAnsi="Times New Roman"/>
          <w:color w:val="000000"/>
          <w:szCs w:val="24"/>
        </w:rPr>
      </w:pPr>
      <w:r w:rsidRPr="00C65B32">
        <w:rPr>
          <w:rFonts w:ascii="Times New Roman" w:eastAsia="標楷體" w:hAnsi="標楷體" w:hint="eastAsia"/>
          <w:color w:val="000000"/>
          <w:szCs w:val="24"/>
        </w:rPr>
        <w:t>聽力：待加強，閱讀：精熟，英語科：基礎。</w:t>
      </w:r>
    </w:p>
    <w:p w:rsidR="004C428F" w:rsidRPr="00C65B32" w:rsidRDefault="004C428F" w:rsidP="0063779A">
      <w:pPr>
        <w:pStyle w:val="1"/>
        <w:spacing w:beforeLines="50"/>
        <w:ind w:leftChars="196" w:left="950" w:hangingChars="200" w:hanging="480"/>
        <w:rPr>
          <w:rFonts w:ascii="Times New Roman" w:eastAsia="標楷體" w:hAnsi="Times New Roman"/>
          <w:color w:val="000000"/>
          <w:szCs w:val="24"/>
        </w:rPr>
      </w:pPr>
      <w:r w:rsidRPr="00C65B32">
        <w:rPr>
          <w:rFonts w:ascii="Times New Roman" w:eastAsia="標楷體" w:hAnsi="Times New Roman"/>
          <w:color w:val="000000"/>
          <w:szCs w:val="24"/>
        </w:rPr>
        <w:t xml:space="preserve">(3)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13</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(20/20) ×20 + (13/40)×80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46</w:t>
      </w:r>
      <w:r w:rsidRPr="00C65B32">
        <w:rPr>
          <w:rFonts w:ascii="Times New Roman" w:eastAsia="標楷體" w:hAnsi="標楷體" w:hint="eastAsia"/>
          <w:color w:val="000000"/>
          <w:szCs w:val="24"/>
        </w:rPr>
        <w:t>，該考生拿到的成績結果為</w:t>
      </w:r>
    </w:p>
    <w:p w:rsidR="004C428F" w:rsidRPr="00C65B32" w:rsidRDefault="004C428F" w:rsidP="0063779A">
      <w:pPr>
        <w:pStyle w:val="1"/>
        <w:spacing w:beforeLines="50"/>
        <w:ind w:leftChars="396" w:left="950"/>
        <w:rPr>
          <w:rFonts w:ascii="Times New Roman" w:eastAsia="標楷體" w:hAnsi="Times New Roman"/>
          <w:color w:val="000000"/>
          <w:szCs w:val="24"/>
        </w:rPr>
      </w:pPr>
      <w:r w:rsidRPr="00C65B32">
        <w:rPr>
          <w:rFonts w:ascii="Times New Roman" w:eastAsia="標楷體" w:hAnsi="標楷體" w:hint="eastAsia"/>
          <w:color w:val="000000"/>
          <w:szCs w:val="24"/>
        </w:rPr>
        <w:t>聽力：基礎（含以上），閱讀：待加強，英語科：基礎。</w:t>
      </w:r>
    </w:p>
    <w:p w:rsidR="004C428F" w:rsidRPr="00C65B32" w:rsidRDefault="004C428F" w:rsidP="0063779A">
      <w:pPr>
        <w:pStyle w:val="1"/>
        <w:spacing w:beforeLines="50"/>
        <w:ind w:leftChars="196" w:left="950" w:hangingChars="200" w:hanging="480"/>
        <w:rPr>
          <w:rFonts w:ascii="Times New Roman" w:eastAsia="標楷體" w:hAnsi="Times New Roman"/>
          <w:color w:val="000000"/>
          <w:szCs w:val="24"/>
        </w:rPr>
      </w:pPr>
      <w:r w:rsidRPr="00C65B32">
        <w:rPr>
          <w:rFonts w:ascii="Times New Roman" w:eastAsia="標楷體" w:hAnsi="Times New Roman"/>
          <w:color w:val="000000"/>
          <w:szCs w:val="24"/>
        </w:rPr>
        <w:t xml:space="preserve">(4)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14</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39</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(14/20) ×20 + (39/40)×80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92</w:t>
      </w:r>
      <w:r w:rsidRPr="00C65B32">
        <w:rPr>
          <w:rFonts w:ascii="Times New Roman" w:eastAsia="標楷體" w:hAnsi="標楷體" w:hint="eastAsia"/>
          <w:color w:val="000000"/>
          <w:szCs w:val="24"/>
        </w:rPr>
        <w:t>，該考生拿到的成績結果為</w:t>
      </w:r>
    </w:p>
    <w:p w:rsidR="004C428F" w:rsidRPr="00C65B32" w:rsidRDefault="004C428F" w:rsidP="0063779A">
      <w:pPr>
        <w:pStyle w:val="1"/>
        <w:spacing w:beforeLines="50"/>
        <w:ind w:leftChars="396" w:left="950"/>
        <w:rPr>
          <w:rFonts w:ascii="Times New Roman" w:eastAsia="標楷體" w:hAnsi="Times New Roman"/>
          <w:color w:val="000000"/>
          <w:szCs w:val="24"/>
        </w:rPr>
      </w:pPr>
      <w:r w:rsidRPr="00C65B32">
        <w:rPr>
          <w:rFonts w:ascii="Times New Roman" w:eastAsia="標楷體" w:hAnsi="標楷體" w:hint="eastAsia"/>
          <w:color w:val="000000"/>
          <w:szCs w:val="24"/>
        </w:rPr>
        <w:t>聽力：待加強，閱讀：精熟，英語科：精熟。</w:t>
      </w:r>
    </w:p>
    <w:p w:rsidR="004C428F" w:rsidRPr="00C65B32" w:rsidRDefault="004C428F" w:rsidP="0063779A">
      <w:pPr>
        <w:pStyle w:val="ListParagraph"/>
        <w:numPr>
          <w:ilvl w:val="0"/>
          <w:numId w:val="1"/>
        </w:numPr>
        <w:spacing w:beforeLines="50"/>
        <w:ind w:leftChars="0"/>
        <w:rPr>
          <w:rFonts w:ascii="Times New Roman" w:eastAsia="標楷體" w:hAnsi="Times New Roman"/>
          <w:color w:val="000000"/>
        </w:rPr>
      </w:pPr>
      <w:r w:rsidRPr="00C65B32">
        <w:rPr>
          <w:rFonts w:ascii="Times New Roman" w:eastAsia="標楷體" w:hAnsi="標楷體" w:hint="eastAsia"/>
          <w:color w:val="000000"/>
          <w:szCs w:val="24"/>
        </w:rPr>
        <w:t>依加權分數將考生區</w:t>
      </w:r>
      <w:r w:rsidRPr="00C65B32">
        <w:rPr>
          <w:rFonts w:ascii="Times New Roman" w:eastAsia="標楷體" w:hAnsi="標楷體" w:hint="eastAsia"/>
          <w:color w:val="000000"/>
        </w:rPr>
        <w:t>分為「精熟」、「基礎」及「待加強」</w:t>
      </w:r>
      <w:r w:rsidRPr="00C65B32">
        <w:rPr>
          <w:rFonts w:ascii="Times New Roman" w:eastAsia="標楷體" w:hAnsi="Times New Roman"/>
          <w:color w:val="000000"/>
        </w:rPr>
        <w:t>3</w:t>
      </w:r>
      <w:r w:rsidRPr="00C65B32">
        <w:rPr>
          <w:rFonts w:ascii="Times New Roman" w:eastAsia="標楷體" w:hAnsi="標楷體" w:hint="eastAsia"/>
          <w:color w:val="000000"/>
        </w:rPr>
        <w:t>個能力等級後，</w:t>
      </w:r>
      <w:r w:rsidRPr="00C65B32">
        <w:rPr>
          <w:rFonts w:ascii="Times New Roman" w:eastAsia="標楷體" w:hAnsi="標楷體" w:hint="eastAsia"/>
          <w:color w:val="000000"/>
          <w:szCs w:val="24"/>
        </w:rPr>
        <w:t>在精熟（</w:t>
      </w:r>
      <w:r w:rsidRPr="00C65B32">
        <w:rPr>
          <w:rFonts w:ascii="Times New Roman" w:eastAsia="標楷體" w:hAnsi="Times New Roman"/>
          <w:color w:val="000000"/>
          <w:szCs w:val="24"/>
        </w:rPr>
        <w:t>A</w:t>
      </w:r>
      <w:r w:rsidRPr="00C65B32">
        <w:rPr>
          <w:rFonts w:ascii="Times New Roman" w:eastAsia="標楷體" w:hAnsi="標楷體" w:hint="eastAsia"/>
          <w:color w:val="000000"/>
          <w:szCs w:val="24"/>
        </w:rPr>
        <w:t>）等級前</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，分別標示</w:t>
      </w:r>
      <w:r w:rsidRPr="00C65B32">
        <w:rPr>
          <w:rFonts w:ascii="Times New Roman" w:eastAsia="標楷體" w:hAnsi="Times New Roman"/>
          <w:color w:val="000000"/>
          <w:szCs w:val="24"/>
        </w:rPr>
        <w:t>A++</w:t>
      </w:r>
      <w:r w:rsidRPr="00C65B32">
        <w:rPr>
          <w:rFonts w:ascii="Times New Roman" w:eastAsia="標楷體" w:hAnsi="標楷體" w:hint="eastAsia"/>
          <w:color w:val="000000"/>
          <w:szCs w:val="24"/>
        </w:rPr>
        <w:t>（精熟等級前</w:t>
      </w:r>
      <w:r w:rsidRPr="00C65B32">
        <w:rPr>
          <w:rFonts w:ascii="Times New Roman" w:eastAsia="標楷體" w:hAnsi="Times New Roman"/>
          <w:color w:val="000000"/>
          <w:szCs w:val="24"/>
        </w:rPr>
        <w:t>25%</w:t>
      </w:r>
      <w:r w:rsidRPr="00C65B32">
        <w:rPr>
          <w:rFonts w:ascii="Times New Roman" w:eastAsia="標楷體" w:hAnsi="標楷體" w:hint="eastAsia"/>
          <w:color w:val="000000"/>
          <w:szCs w:val="24"/>
        </w:rPr>
        <w:t>）及</w:t>
      </w:r>
      <w:r w:rsidRPr="00C65B32">
        <w:rPr>
          <w:rFonts w:ascii="Times New Roman" w:eastAsia="標楷體" w:hAnsi="Times New Roman"/>
          <w:color w:val="000000"/>
          <w:szCs w:val="24"/>
        </w:rPr>
        <w:t>A+</w:t>
      </w:r>
      <w:r w:rsidRPr="00C65B32">
        <w:rPr>
          <w:rFonts w:ascii="Times New Roman" w:eastAsia="標楷體" w:hAnsi="標楷體" w:hint="eastAsia"/>
          <w:color w:val="000000"/>
          <w:szCs w:val="24"/>
        </w:rPr>
        <w:t>（精熟等級前</w:t>
      </w:r>
      <w:r w:rsidRPr="00C65B32">
        <w:rPr>
          <w:rFonts w:ascii="Times New Roman" w:eastAsia="標楷體" w:hAnsi="Times New Roman"/>
          <w:color w:val="000000"/>
          <w:szCs w:val="24"/>
        </w:rPr>
        <w:t>26%</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），並在基礎（</w:t>
      </w:r>
      <w:r w:rsidRPr="00C65B32">
        <w:rPr>
          <w:rFonts w:ascii="Times New Roman" w:eastAsia="標楷體" w:hAnsi="Times New Roman"/>
          <w:color w:val="000000"/>
          <w:szCs w:val="24"/>
        </w:rPr>
        <w:t>B</w:t>
      </w:r>
      <w:r w:rsidRPr="00C65B32">
        <w:rPr>
          <w:rFonts w:ascii="Times New Roman" w:eastAsia="標楷體" w:hAnsi="標楷體" w:hint="eastAsia"/>
          <w:color w:val="000000"/>
          <w:szCs w:val="24"/>
        </w:rPr>
        <w:t>）等級前</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，分別標示</w:t>
      </w:r>
      <w:r w:rsidRPr="00C65B32">
        <w:rPr>
          <w:rFonts w:ascii="Times New Roman" w:eastAsia="標楷體" w:hAnsi="Times New Roman"/>
          <w:color w:val="000000"/>
          <w:szCs w:val="24"/>
        </w:rPr>
        <w:t>B++</w:t>
      </w:r>
      <w:r w:rsidRPr="00C65B32">
        <w:rPr>
          <w:rFonts w:ascii="Times New Roman" w:eastAsia="標楷體" w:hAnsi="標楷體" w:hint="eastAsia"/>
          <w:color w:val="000000"/>
          <w:szCs w:val="24"/>
        </w:rPr>
        <w:t>（基礎等級前</w:t>
      </w:r>
      <w:r w:rsidRPr="00C65B32">
        <w:rPr>
          <w:rFonts w:ascii="Times New Roman" w:eastAsia="標楷體" w:hAnsi="Times New Roman"/>
          <w:color w:val="000000"/>
          <w:szCs w:val="24"/>
        </w:rPr>
        <w:t>25%</w:t>
      </w:r>
      <w:r w:rsidRPr="00C65B32">
        <w:rPr>
          <w:rFonts w:ascii="Times New Roman" w:eastAsia="標楷體" w:hAnsi="標楷體" w:hint="eastAsia"/>
          <w:color w:val="000000"/>
          <w:szCs w:val="24"/>
        </w:rPr>
        <w:t>）及</w:t>
      </w:r>
      <w:r w:rsidRPr="00C65B32">
        <w:rPr>
          <w:rFonts w:ascii="Times New Roman" w:eastAsia="標楷體" w:hAnsi="Times New Roman"/>
          <w:color w:val="000000"/>
          <w:szCs w:val="24"/>
        </w:rPr>
        <w:t>B+</w:t>
      </w:r>
      <w:r w:rsidRPr="00C65B32">
        <w:rPr>
          <w:rFonts w:ascii="Times New Roman" w:eastAsia="標楷體" w:hAnsi="標楷體" w:hint="eastAsia"/>
          <w:color w:val="000000"/>
          <w:szCs w:val="24"/>
        </w:rPr>
        <w:t>（基礎等級前</w:t>
      </w:r>
      <w:r w:rsidRPr="00C65B32">
        <w:rPr>
          <w:rFonts w:ascii="Times New Roman" w:eastAsia="標楷體" w:hAnsi="Times New Roman"/>
          <w:color w:val="000000"/>
          <w:szCs w:val="24"/>
        </w:rPr>
        <w:t>26%</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）。各能力等級加標示與其相對應之加權分數請參考下列對照表。</w:t>
      </w:r>
    </w:p>
    <w:p w:rsidR="004C428F" w:rsidRPr="00C65B32" w:rsidRDefault="004C428F" w:rsidP="0063779A">
      <w:pPr>
        <w:pStyle w:val="ListParagraph"/>
        <w:spacing w:beforeLines="50"/>
        <w:ind w:leftChars="0" w:left="360"/>
        <w:jc w:val="center"/>
        <w:rPr>
          <w:rFonts w:ascii="Times New Roman" w:eastAsia="標楷體" w:hAnsi="Times New Roman"/>
          <w:color w:val="000000"/>
        </w:rPr>
      </w:pPr>
      <w:r w:rsidRPr="00C65B32">
        <w:rPr>
          <w:rFonts w:ascii="Times New Roman" w:eastAsia="標楷體" w:hAnsi="標楷體" w:hint="eastAsia"/>
          <w:color w:val="000000"/>
        </w:rPr>
        <w:t>英語科能力等級加標示與加權分數對照表</w:t>
      </w:r>
      <w:r w:rsidRPr="00C65B32">
        <w:rPr>
          <w:rFonts w:ascii="Times New Roman" w:eastAsia="標楷體" w:hAnsi="標楷體"/>
          <w:color w:val="000000"/>
        </w:rPr>
        <w:t>(</w:t>
      </w:r>
      <w:r w:rsidRPr="00C65B32">
        <w:rPr>
          <w:rFonts w:ascii="Times New Roman" w:eastAsia="標楷體" w:hAnsi="標楷體" w:hint="eastAsia"/>
          <w:color w:val="000000"/>
        </w:rPr>
        <w:t>以</w:t>
      </w:r>
      <w:r w:rsidRPr="00C65B32">
        <w:rPr>
          <w:rFonts w:ascii="Times New Roman" w:eastAsia="標楷體" w:hAnsi="標楷體"/>
          <w:color w:val="000000"/>
        </w:rPr>
        <w:t>102</w:t>
      </w:r>
      <w:r w:rsidRPr="00C65B32">
        <w:rPr>
          <w:rFonts w:ascii="Times New Roman" w:eastAsia="標楷體" w:hAnsi="標楷體" w:hint="eastAsia"/>
          <w:color w:val="000000"/>
        </w:rPr>
        <w:t>年試辦國中教育會考為範例</w:t>
      </w:r>
      <w:r w:rsidRPr="00C65B32">
        <w:rPr>
          <w:rFonts w:ascii="Times New Roman" w:eastAsia="標楷體" w:hAnsi="標楷體"/>
          <w:color w:val="000000"/>
        </w:rPr>
        <w:t>)</w:t>
      </w:r>
    </w:p>
    <w:tbl>
      <w:tblPr>
        <w:tblW w:w="0" w:type="auto"/>
        <w:jc w:val="center"/>
        <w:tblCellMar>
          <w:left w:w="28" w:type="dxa"/>
          <w:right w:w="28" w:type="dxa"/>
        </w:tblCellMar>
        <w:tblLook w:val="00A0"/>
      </w:tblPr>
      <w:tblGrid>
        <w:gridCol w:w="776"/>
        <w:gridCol w:w="536"/>
        <w:gridCol w:w="736"/>
        <w:gridCol w:w="736"/>
      </w:tblGrid>
      <w:tr w:rsidR="004C428F" w:rsidRPr="00C65B32" w:rsidTr="00046D68">
        <w:trPr>
          <w:trHeight w:val="330"/>
          <w:jc w:val="center"/>
        </w:trPr>
        <w:tc>
          <w:tcPr>
            <w:tcW w:w="0" w:type="auto"/>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等級</w:t>
            </w:r>
          </w:p>
        </w:tc>
        <w:tc>
          <w:tcPr>
            <w:tcW w:w="0" w:type="auto"/>
            <w:tcBorders>
              <w:top w:val="single" w:sz="12" w:space="0" w:color="auto"/>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標示</w:t>
            </w:r>
          </w:p>
        </w:tc>
        <w:tc>
          <w:tcPr>
            <w:tcW w:w="0" w:type="auto"/>
            <w:gridSpan w:val="2"/>
            <w:tcBorders>
              <w:top w:val="single" w:sz="12" w:space="0" w:color="auto"/>
              <w:left w:val="single" w:sz="4" w:space="0" w:color="auto"/>
              <w:bottom w:val="single" w:sz="4" w:space="0" w:color="auto"/>
              <w:right w:val="single" w:sz="4" w:space="0" w:color="auto"/>
            </w:tcBorders>
            <w:vAlign w:val="center"/>
          </w:tcPr>
          <w:p w:rsidR="004C428F" w:rsidRPr="00C65B32" w:rsidRDefault="004C428F">
            <w:pPr>
              <w:jc w:val="center"/>
              <w:rPr>
                <w:rFonts w:ascii="Times New Roman" w:hAnsi="Times New Roman"/>
                <w:color w:val="000000"/>
              </w:rPr>
            </w:pPr>
            <w:r>
              <w:rPr>
                <w:rFonts w:ascii="Times New Roman" w:eastAsia="標楷體" w:hAnsi="Times New Roman" w:hint="eastAsia"/>
                <w:color w:val="000000"/>
                <w:kern w:val="0"/>
                <w:szCs w:val="24"/>
              </w:rPr>
              <w:t>加權分數</w:t>
            </w:r>
          </w:p>
        </w:tc>
      </w:tr>
      <w:tr w:rsidR="004C428F" w:rsidRPr="00C65B32" w:rsidTr="00CA5760">
        <w:trPr>
          <w:trHeight w:val="330"/>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hint="eastAsia"/>
                <w:color w:val="000000"/>
                <w:kern w:val="0"/>
                <w:szCs w:val="24"/>
              </w:rPr>
              <w:t>精熟</w:t>
            </w:r>
          </w:p>
        </w:tc>
        <w:tc>
          <w:tcPr>
            <w:tcW w:w="0" w:type="auto"/>
            <w:tcBorders>
              <w:top w:val="single" w:sz="12" w:space="0" w:color="auto"/>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A++</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88-100</w:t>
            </w:r>
          </w:p>
        </w:tc>
        <w:tc>
          <w:tcPr>
            <w:tcW w:w="0" w:type="auto"/>
            <w:tcBorders>
              <w:top w:val="single" w:sz="12" w:space="0" w:color="auto"/>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96-100</w:t>
            </w:r>
          </w:p>
        </w:tc>
      </w:tr>
      <w:tr w:rsidR="004C428F" w:rsidRPr="00C65B32" w:rsidTr="00513978">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A+</w:t>
            </w:r>
          </w:p>
        </w:tc>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92-95</w:t>
            </w:r>
          </w:p>
        </w:tc>
      </w:tr>
      <w:tr w:rsidR="004C428F" w:rsidRPr="00C65B32" w:rsidTr="00CA5760">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single" w:sz="4" w:space="0" w:color="auto"/>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single" w:sz="4" w:space="0" w:color="auto"/>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88-91</w:t>
            </w:r>
          </w:p>
        </w:tc>
      </w:tr>
      <w:tr w:rsidR="004C428F" w:rsidRPr="00C65B32" w:rsidTr="00513978">
        <w:trPr>
          <w:trHeight w:val="330"/>
          <w:jc w:val="center"/>
        </w:trPr>
        <w:tc>
          <w:tcPr>
            <w:tcW w:w="0" w:type="auto"/>
            <w:vMerge w:val="restart"/>
            <w:tcBorders>
              <w:top w:val="nil"/>
              <w:left w:val="single" w:sz="4" w:space="0" w:color="auto"/>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hint="eastAsia"/>
                <w:color w:val="000000"/>
                <w:kern w:val="0"/>
                <w:szCs w:val="24"/>
              </w:rPr>
              <w:t>基礎</w:t>
            </w: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B++</w:t>
            </w:r>
          </w:p>
        </w:tc>
        <w:tc>
          <w:tcPr>
            <w:tcW w:w="0" w:type="auto"/>
            <w:vMerge w:val="restart"/>
            <w:tcBorders>
              <w:top w:val="nil"/>
              <w:left w:val="single" w:sz="4" w:space="0" w:color="auto"/>
              <w:bottom w:val="single" w:sz="4" w:space="0" w:color="auto"/>
              <w:right w:val="single" w:sz="4" w:space="0" w:color="auto"/>
            </w:tcBorders>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43-87</w:t>
            </w: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78-87</w:t>
            </w:r>
          </w:p>
        </w:tc>
      </w:tr>
      <w:tr w:rsidR="004C428F" w:rsidRPr="00C65B32" w:rsidTr="00513978">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68-77</w:t>
            </w:r>
          </w:p>
        </w:tc>
      </w:tr>
      <w:tr w:rsidR="004C428F" w:rsidRPr="00C65B32" w:rsidTr="00513978">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43-67</w:t>
            </w:r>
          </w:p>
        </w:tc>
      </w:tr>
      <w:tr w:rsidR="004C428F" w:rsidRPr="00C65B32" w:rsidTr="00CA5760">
        <w:trPr>
          <w:trHeight w:val="330"/>
          <w:jc w:val="center"/>
        </w:trPr>
        <w:tc>
          <w:tcPr>
            <w:tcW w:w="0" w:type="auto"/>
            <w:tcBorders>
              <w:top w:val="nil"/>
              <w:left w:val="single" w:sz="4" w:space="0" w:color="auto"/>
              <w:bottom w:val="single" w:sz="12"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hint="eastAsia"/>
                <w:color w:val="000000"/>
                <w:kern w:val="0"/>
                <w:szCs w:val="24"/>
              </w:rPr>
              <w:t>待加強</w:t>
            </w:r>
          </w:p>
        </w:tc>
        <w:tc>
          <w:tcPr>
            <w:tcW w:w="0" w:type="auto"/>
            <w:tcBorders>
              <w:top w:val="nil"/>
              <w:left w:val="nil"/>
              <w:bottom w:val="single" w:sz="12"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C</w:t>
            </w:r>
          </w:p>
        </w:tc>
        <w:tc>
          <w:tcPr>
            <w:tcW w:w="0" w:type="auto"/>
            <w:gridSpan w:val="2"/>
            <w:tcBorders>
              <w:top w:val="single" w:sz="4" w:space="0" w:color="auto"/>
              <w:left w:val="nil"/>
              <w:bottom w:val="single" w:sz="12" w:space="0" w:color="auto"/>
              <w:right w:val="single" w:sz="4" w:space="0" w:color="auto"/>
            </w:tcBorders>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0-42</w:t>
            </w:r>
          </w:p>
        </w:tc>
      </w:tr>
    </w:tbl>
    <w:p w:rsidR="004C428F" w:rsidRPr="00C65B32" w:rsidRDefault="004C428F" w:rsidP="0063779A">
      <w:pPr>
        <w:pStyle w:val="ListParagraph"/>
        <w:spacing w:beforeLines="50"/>
        <w:ind w:leftChars="0" w:left="360"/>
        <w:jc w:val="center"/>
        <w:rPr>
          <w:rFonts w:ascii="Times New Roman" w:eastAsia="標楷體" w:hAnsi="Times New Roman"/>
          <w:color w:val="000000"/>
        </w:rPr>
      </w:pPr>
    </w:p>
    <w:p w:rsidR="004C428F" w:rsidRPr="00C65B32" w:rsidRDefault="004C428F" w:rsidP="0063779A">
      <w:pPr>
        <w:pStyle w:val="ListParagraph"/>
        <w:spacing w:beforeLines="50"/>
        <w:ind w:leftChars="0" w:left="360"/>
        <w:jc w:val="center"/>
        <w:rPr>
          <w:rFonts w:ascii="Times New Roman" w:eastAsia="標楷體" w:hAnsi="Times New Roman"/>
          <w:color w:val="000000"/>
        </w:rPr>
      </w:pPr>
      <w:r w:rsidRPr="00C65B32">
        <w:rPr>
          <w:rFonts w:ascii="Times New Roman" w:eastAsia="標楷體" w:hAnsi="標楷體" w:hint="eastAsia"/>
          <w:color w:val="000000"/>
        </w:rPr>
        <w:t>英語科聽力答對題數與閱讀答對題數對應等級加標示對照表</w:t>
      </w:r>
      <w:r w:rsidRPr="00C65B32">
        <w:rPr>
          <w:rFonts w:ascii="Times New Roman" w:eastAsia="標楷體" w:hAnsi="標楷體"/>
          <w:color w:val="000000"/>
        </w:rPr>
        <w:t>(</w:t>
      </w:r>
      <w:r w:rsidRPr="00C65B32">
        <w:rPr>
          <w:rFonts w:ascii="Times New Roman" w:eastAsia="標楷體" w:hAnsi="標楷體" w:hint="eastAsia"/>
          <w:color w:val="000000"/>
        </w:rPr>
        <w:t>以</w:t>
      </w:r>
      <w:r w:rsidRPr="00C65B32">
        <w:rPr>
          <w:rFonts w:ascii="Times New Roman" w:eastAsia="標楷體" w:hAnsi="標楷體"/>
          <w:color w:val="000000"/>
        </w:rPr>
        <w:t>102</w:t>
      </w:r>
      <w:r w:rsidRPr="00C65B32">
        <w:rPr>
          <w:rFonts w:ascii="Times New Roman" w:eastAsia="標楷體" w:hAnsi="標楷體" w:hint="eastAsia"/>
          <w:color w:val="000000"/>
        </w:rPr>
        <w:t>年試辦國中教育會考為範例</w:t>
      </w:r>
      <w:r w:rsidRPr="00C65B32">
        <w:rPr>
          <w:rFonts w:ascii="Times New Roman" w:eastAsia="標楷體" w:hAnsi="標楷體"/>
          <w:color w:val="000000"/>
        </w:rPr>
        <w:t>)</w:t>
      </w:r>
    </w:p>
    <w:tbl>
      <w:tblPr>
        <w:tblW w:w="14680" w:type="dxa"/>
        <w:tblInd w:w="13" w:type="dxa"/>
        <w:tblCellMar>
          <w:left w:w="28" w:type="dxa"/>
          <w:right w:w="28" w:type="dxa"/>
        </w:tblCellMar>
        <w:tblLook w:val="00A0"/>
      </w:tblPr>
      <w:tblGrid>
        <w:gridCol w:w="82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tblGrid>
      <w:tr w:rsidR="004C428F" w:rsidRPr="00C65B32" w:rsidTr="00204D6E">
        <w:trPr>
          <w:trHeight w:val="330"/>
        </w:trPr>
        <w:tc>
          <w:tcPr>
            <w:tcW w:w="820" w:type="dxa"/>
            <w:vMerge w:val="restart"/>
            <w:tcBorders>
              <w:top w:val="single" w:sz="4" w:space="0" w:color="auto"/>
              <w:left w:val="single" w:sz="4" w:space="0" w:color="auto"/>
              <w:bottom w:val="single" w:sz="4" w:space="0" w:color="auto"/>
              <w:right w:val="single" w:sz="4" w:space="0" w:color="auto"/>
            </w:tcBorders>
            <w:shd w:val="clear" w:color="000000" w:fill="E5E0EC"/>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標楷體" w:hint="eastAsia"/>
                <w:color w:val="000000"/>
                <w:kern w:val="0"/>
                <w:szCs w:val="24"/>
              </w:rPr>
              <w:t>閱讀答對題數</w:t>
            </w:r>
          </w:p>
        </w:tc>
        <w:tc>
          <w:tcPr>
            <w:tcW w:w="13860" w:type="dxa"/>
            <w:gridSpan w:val="21"/>
            <w:tcBorders>
              <w:top w:val="single" w:sz="4" w:space="0" w:color="auto"/>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標楷體" w:hint="eastAsia"/>
                <w:color w:val="000000"/>
                <w:kern w:val="0"/>
                <w:szCs w:val="24"/>
              </w:rPr>
              <w:t>聽力答對題數</w:t>
            </w:r>
          </w:p>
        </w:tc>
      </w:tr>
      <w:tr w:rsidR="004C428F" w:rsidRPr="00C65B32" w:rsidTr="00204D6E">
        <w:trPr>
          <w:trHeight w:val="330"/>
        </w:trPr>
        <w:tc>
          <w:tcPr>
            <w:tcW w:w="820" w:type="dxa"/>
            <w:vMerge/>
            <w:tcBorders>
              <w:top w:val="single" w:sz="4" w:space="0" w:color="auto"/>
              <w:left w:val="single" w:sz="4" w:space="0" w:color="auto"/>
              <w:bottom w:val="single" w:sz="4" w:space="0" w:color="auto"/>
              <w:right w:val="single" w:sz="4" w:space="0" w:color="auto"/>
            </w:tcBorders>
            <w:vAlign w:val="center"/>
          </w:tcPr>
          <w:p w:rsidR="004C428F" w:rsidRPr="00C65B32" w:rsidRDefault="004C428F" w:rsidP="00C64078">
            <w:pPr>
              <w:widowControl/>
              <w:rPr>
                <w:rFonts w:ascii="Times New Roman" w:eastAsia="標楷體" w:hAnsi="Times New Roman"/>
                <w:color w:val="000000"/>
                <w:kern w:val="0"/>
                <w:szCs w:val="24"/>
              </w:rPr>
            </w:pPr>
          </w:p>
        </w:tc>
        <w:tc>
          <w:tcPr>
            <w:tcW w:w="660" w:type="dxa"/>
            <w:tcBorders>
              <w:top w:val="single" w:sz="4" w:space="0" w:color="auto"/>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0</w:t>
            </w:r>
          </w:p>
        </w:tc>
        <w:tc>
          <w:tcPr>
            <w:tcW w:w="660" w:type="dxa"/>
            <w:tcBorders>
              <w:top w:val="single" w:sz="4" w:space="0" w:color="auto"/>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4</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5</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6</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7</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8</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9</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10</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11</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12</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13</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14</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15</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16</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17</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18</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19</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20</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widowControl/>
              <w:jc w:val="center"/>
              <w:rPr>
                <w:rFonts w:ascii="標楷體" w:eastAsia="標楷體" w:hAnsi="標楷體"/>
                <w:color w:val="000000"/>
                <w:kern w:val="0"/>
                <w:szCs w:val="24"/>
              </w:rPr>
            </w:pPr>
            <w:bookmarkStart w:id="1" w:name="RANGE!B4:V44"/>
            <w:bookmarkEnd w:id="1"/>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40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bl>
    <w:p w:rsidR="004C428F" w:rsidRPr="00C65B32" w:rsidRDefault="004C428F" w:rsidP="003F5DBE">
      <w:pPr>
        <w:rPr>
          <w:rFonts w:ascii="Times New Roman" w:eastAsia="標楷體" w:hAnsi="標楷體"/>
          <w:color w:val="000000"/>
        </w:rPr>
      </w:pPr>
    </w:p>
    <w:p w:rsidR="004C428F" w:rsidRPr="00C65B32" w:rsidRDefault="004C428F" w:rsidP="003F5DBE">
      <w:pPr>
        <w:rPr>
          <w:rFonts w:ascii="Times New Roman" w:eastAsia="標楷體" w:hAnsi="標楷體"/>
          <w:color w:val="000000"/>
        </w:rPr>
      </w:pPr>
      <w:r w:rsidRPr="00C65B32">
        <w:rPr>
          <w:rFonts w:ascii="Times New Roman" w:eastAsia="標楷體" w:hAnsi="標楷體" w:hint="eastAsia"/>
          <w:color w:val="000000"/>
        </w:rPr>
        <w:t>註：國中教育會考英語科聽力測驗加權比重為什麼是</w:t>
      </w:r>
      <w:r w:rsidRPr="00C65B32">
        <w:rPr>
          <w:rFonts w:ascii="Times New Roman" w:eastAsia="標楷體" w:hAnsi="Times New Roman"/>
          <w:color w:val="000000"/>
        </w:rPr>
        <w:t>20</w:t>
      </w:r>
      <w:r w:rsidRPr="00C65B32">
        <w:rPr>
          <w:rFonts w:ascii="Times New Roman" w:eastAsia="標楷體" w:hAnsi="標楷體" w:hint="eastAsia"/>
          <w:color w:val="000000"/>
        </w:rPr>
        <w:t>％？</w:t>
      </w:r>
    </w:p>
    <w:p w:rsidR="004C428F" w:rsidRPr="00050115" w:rsidRDefault="004C428F" w:rsidP="00050115">
      <w:pPr>
        <w:ind w:firstLine="480"/>
        <w:rPr>
          <w:rFonts w:ascii="Times New Roman" w:eastAsia="標楷體" w:hAnsi="標楷體"/>
          <w:color w:val="000000"/>
          <w:szCs w:val="24"/>
        </w:rPr>
      </w:pPr>
      <w:r w:rsidRPr="00C65B32">
        <w:rPr>
          <w:rFonts w:ascii="Times New Roman" w:eastAsia="標楷體" w:hAnsi="標楷體" w:hint="eastAsia"/>
          <w:color w:val="000000"/>
          <w:szCs w:val="24"/>
        </w:rPr>
        <w:t>聽力為新增之評量項目，為避免增加考生考試壓力，聽力試題難度較閱讀低，只分為</w:t>
      </w:r>
      <w:r w:rsidRPr="00C65B32">
        <w:rPr>
          <w:rFonts w:ascii="Times New Roman" w:eastAsia="標楷體" w:hAnsi="標楷體"/>
          <w:color w:val="000000"/>
          <w:szCs w:val="24"/>
        </w:rPr>
        <w:t>2</w:t>
      </w:r>
      <w:r w:rsidRPr="00C65B32">
        <w:rPr>
          <w:rFonts w:ascii="Times New Roman" w:eastAsia="標楷體" w:hAnsi="標楷體" w:hint="eastAsia"/>
          <w:color w:val="000000"/>
          <w:szCs w:val="24"/>
        </w:rPr>
        <w:t>等級，因此聽力試題雖約占總題數</w:t>
      </w:r>
      <w:r w:rsidRPr="00C65B32">
        <w:rPr>
          <w:rFonts w:ascii="Times New Roman" w:eastAsia="標楷體" w:hAnsi="Times New Roman"/>
          <w:color w:val="000000"/>
        </w:rPr>
        <w:t>33</w:t>
      </w:r>
      <w:r w:rsidRPr="00C65B32">
        <w:rPr>
          <w:rFonts w:ascii="Times New Roman" w:eastAsia="標楷體" w:hAnsi="標楷體" w:hint="eastAsia"/>
          <w:color w:val="000000"/>
        </w:rPr>
        <w:t>％，</w:t>
      </w:r>
      <w:r w:rsidRPr="00C65B32">
        <w:rPr>
          <w:rFonts w:ascii="Times New Roman" w:eastAsia="標楷體" w:hAnsi="標楷體" w:hint="eastAsia"/>
          <w:color w:val="000000"/>
          <w:szCs w:val="24"/>
        </w:rPr>
        <w:t>考量聽力與閱讀試題難易度有相當差異，因此英語科整體能力計分的加權比重係根據聽力與閱讀試題整體難易度差異作調整。日後有需要的話，英語科聽力與閱讀計分比重將採逐步漸進之方式調整。</w:t>
      </w:r>
    </w:p>
    <w:sectPr w:rsidR="004C428F" w:rsidRPr="00050115" w:rsidSect="00393B48">
      <w:footerReference w:type="even" r:id="rId8"/>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8F" w:rsidRDefault="004C428F" w:rsidP="00940318">
      <w:r>
        <w:separator/>
      </w:r>
    </w:p>
  </w:endnote>
  <w:endnote w:type="continuationSeparator" w:id="0">
    <w:p w:rsidR="004C428F" w:rsidRDefault="004C428F" w:rsidP="00940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8F" w:rsidRDefault="004C428F" w:rsidP="00474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28F" w:rsidRDefault="004C428F" w:rsidP="004A1F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8F" w:rsidRDefault="004C428F" w:rsidP="00474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428F" w:rsidRDefault="004C428F" w:rsidP="004A1F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8F" w:rsidRDefault="004C428F" w:rsidP="00940318">
      <w:r>
        <w:separator/>
      </w:r>
    </w:p>
  </w:footnote>
  <w:footnote w:type="continuationSeparator" w:id="0">
    <w:p w:rsidR="004C428F" w:rsidRDefault="004C428F" w:rsidP="00940318">
      <w:r>
        <w:continuationSeparator/>
      </w:r>
    </w:p>
  </w:footnote>
  <w:footnote w:id="1">
    <w:p w:rsidR="004C428F" w:rsidRDefault="004C428F">
      <w:pPr>
        <w:pStyle w:val="FootnoteText"/>
      </w:pPr>
      <w:r w:rsidRPr="00BD4D7C">
        <w:rPr>
          <w:rStyle w:val="FootnoteReference"/>
        </w:rPr>
        <w:footnoteRef/>
      </w:r>
      <w:r w:rsidRPr="00BD4D7C">
        <w:rPr>
          <w:rStyle w:val="FootnoteReference"/>
        </w:rPr>
        <w:t xml:space="preserve"> </w:t>
      </w:r>
      <w:r w:rsidRPr="00BD4D7C">
        <w:rPr>
          <w:rStyle w:val="FootnoteReference"/>
          <w:rFonts w:ascii="標楷體" w:eastAsia="標楷體" w:hAnsi="標楷體" w:hint="eastAsia"/>
          <w:vertAlign w:val="baseline"/>
        </w:rPr>
        <w:t>為避免</w:t>
      </w:r>
      <w:r w:rsidRPr="00BD4D7C">
        <w:rPr>
          <w:rFonts w:ascii="標楷體" w:eastAsia="標楷體" w:hAnsi="標楷體" w:hint="eastAsia"/>
        </w:rPr>
        <w:t>聽力測驗</w:t>
      </w:r>
      <w:r w:rsidRPr="00BD4D7C">
        <w:rPr>
          <w:rStyle w:val="FootnoteReference"/>
          <w:rFonts w:ascii="標楷體" w:eastAsia="標楷體" w:hAnsi="標楷體" w:hint="eastAsia"/>
          <w:vertAlign w:val="baseline"/>
        </w:rPr>
        <w:t>試題難度變動過大</w:t>
      </w:r>
      <w:r w:rsidRPr="00BD4D7C">
        <w:rPr>
          <w:rFonts w:ascii="標楷體" w:eastAsia="標楷體" w:hAnsi="標楷體" w:hint="eastAsia"/>
        </w:rPr>
        <w:t>，</w:t>
      </w:r>
      <w:r w:rsidRPr="00BD4D7C">
        <w:rPr>
          <w:rFonts w:ascii="標楷體" w:eastAsia="標楷體" w:hAnsi="標楷體"/>
        </w:rPr>
        <w:t xml:space="preserve"> 104</w:t>
      </w:r>
      <w:r w:rsidRPr="00BD4D7C">
        <w:rPr>
          <w:rFonts w:ascii="標楷體" w:eastAsia="標楷體" w:hAnsi="標楷體" w:hint="eastAsia"/>
        </w:rPr>
        <w:t>年國中教育會考聽力測驗難度配置與</w:t>
      </w:r>
      <w:r w:rsidRPr="00BD4D7C">
        <w:rPr>
          <w:rFonts w:ascii="標楷體" w:eastAsia="標楷體" w:hAnsi="標楷體"/>
        </w:rPr>
        <w:t>103</w:t>
      </w:r>
      <w:r w:rsidRPr="00BD4D7C">
        <w:rPr>
          <w:rFonts w:ascii="標楷體" w:eastAsia="標楷體" w:hAnsi="標楷體" w:hint="eastAsia"/>
        </w:rPr>
        <w:t>年國中教</w:t>
      </w:r>
      <w:bookmarkStart w:id="0" w:name="_GoBack"/>
      <w:bookmarkEnd w:id="0"/>
      <w:r w:rsidRPr="00BD4D7C">
        <w:rPr>
          <w:rFonts w:ascii="標楷體" w:eastAsia="標楷體" w:hAnsi="標楷體" w:hint="eastAsia"/>
        </w:rPr>
        <w:t>育會考聽力測驗難度</w:t>
      </w:r>
      <w:r w:rsidRPr="006C0747">
        <w:rPr>
          <w:rFonts w:ascii="標楷體" w:eastAsia="標楷體" w:hAnsi="標楷體" w:hint="eastAsia"/>
        </w:rPr>
        <w:t>配置相近的情況下，若想區分「基礎」及「精熟」</w:t>
      </w:r>
      <w:r w:rsidRPr="006C0747">
        <w:rPr>
          <w:rFonts w:ascii="標楷體" w:eastAsia="標楷體" w:hAnsi="標楷體"/>
        </w:rPr>
        <w:t>2</w:t>
      </w:r>
      <w:r w:rsidRPr="006C0747">
        <w:rPr>
          <w:rFonts w:ascii="標楷體" w:eastAsia="標楷體" w:hAnsi="標楷體" w:hint="eastAsia"/>
        </w:rPr>
        <w:t>個能力等級將會有較大之誤差，所以聽力只分為「基礎」及「待加強」</w:t>
      </w:r>
      <w:r w:rsidRPr="006C0747">
        <w:rPr>
          <w:rFonts w:ascii="標楷體" w:eastAsia="標楷體" w:hAnsi="標楷體"/>
        </w:rPr>
        <w:t>2</w:t>
      </w:r>
      <w:r w:rsidRPr="006C0747">
        <w:rPr>
          <w:rFonts w:ascii="標楷體" w:eastAsia="標楷體" w:hAnsi="標楷體" w:hint="eastAsia"/>
        </w:rPr>
        <w:t>個能力等級。為更貼切表示學生能力等級分類，聽力等級達基礎門檻題數的能力，將以</w:t>
      </w:r>
      <w:r w:rsidRPr="006C0747">
        <w:rPr>
          <w:rFonts w:ascii="Times New Roman" w:eastAsia="標楷體" w:hAnsi="標楷體" w:hint="eastAsia"/>
        </w:rPr>
        <w:t>「基礎</w:t>
      </w:r>
      <w:r w:rsidRPr="006C0747">
        <w:rPr>
          <w:rFonts w:ascii="Times New Roman" w:eastAsia="標楷體" w:hAnsi="標楷體" w:hint="eastAsia"/>
          <w:szCs w:val="24"/>
        </w:rPr>
        <w:t>（含以上）</w:t>
      </w:r>
      <w:r w:rsidRPr="006C0747">
        <w:rPr>
          <w:rFonts w:ascii="Times New Roman" w:eastAsia="標楷體" w:hAnsi="標楷體" w:hint="eastAsia"/>
        </w:rPr>
        <w:t>」表示。</w:t>
      </w:r>
    </w:p>
  </w:footnote>
  <w:footnote w:id="2">
    <w:p w:rsidR="004C428F" w:rsidRDefault="004C428F">
      <w:pPr>
        <w:pStyle w:val="FootnoteText"/>
      </w:pPr>
      <w:r w:rsidRPr="006C0747">
        <w:rPr>
          <w:rStyle w:val="FootnoteReference"/>
        </w:rPr>
        <w:footnoteRef/>
      </w:r>
      <w:r w:rsidRPr="006C0747">
        <w:rPr>
          <w:rFonts w:ascii="Times New Roman" w:eastAsia="標楷體" w:hAnsi="標楷體" w:hint="eastAsia"/>
          <w:szCs w:val="24"/>
        </w:rPr>
        <w:t>當聽力與閱讀兩測驗結果需合併時，為了避免因聽力只分為</w:t>
      </w:r>
      <w:r w:rsidRPr="006C0747">
        <w:rPr>
          <w:rFonts w:ascii="Times New Roman" w:eastAsia="標楷體" w:hAnsi="Times New Roman"/>
          <w:szCs w:val="24"/>
        </w:rPr>
        <w:t>2</w:t>
      </w:r>
      <w:r w:rsidRPr="006C0747">
        <w:rPr>
          <w:rFonts w:ascii="Times New Roman" w:eastAsia="標楷體" w:hAnsi="標楷體" w:hint="eastAsia"/>
          <w:szCs w:val="24"/>
        </w:rPr>
        <w:t>等級（基礎與待加強），使得整體英語科的精熟標準太低，會造成</w:t>
      </w:r>
      <w:r w:rsidRPr="006C0747">
        <w:rPr>
          <w:rFonts w:ascii="Times New Roman" w:eastAsia="標楷體" w:hAnsi="Times New Roman"/>
          <w:szCs w:val="24"/>
        </w:rPr>
        <w:t>104</w:t>
      </w:r>
      <w:r w:rsidRPr="006C0747">
        <w:rPr>
          <w:rFonts w:ascii="Times New Roman" w:eastAsia="標楷體" w:hAnsi="標楷體" w:hint="eastAsia"/>
          <w:szCs w:val="24"/>
        </w:rPr>
        <w:t>年與</w:t>
      </w:r>
      <w:r w:rsidRPr="006C0747">
        <w:rPr>
          <w:rFonts w:ascii="Times New Roman" w:eastAsia="標楷體" w:hAnsi="Times New Roman"/>
          <w:szCs w:val="24"/>
        </w:rPr>
        <w:t>103</w:t>
      </w:r>
      <w:r w:rsidRPr="006C0747">
        <w:rPr>
          <w:rFonts w:ascii="Times New Roman" w:eastAsia="標楷體" w:hAnsi="標楷體" w:hint="eastAsia"/>
          <w:szCs w:val="24"/>
        </w:rPr>
        <w:t>年結果落差太大，無法比較的問題。所以將聽力精熟等級的最低答對題數設定為</w:t>
      </w:r>
      <w:r w:rsidRPr="006C0747">
        <w:rPr>
          <w:rFonts w:ascii="Times New Roman" w:eastAsia="標楷體" w:hAnsi="Times New Roman"/>
          <w:szCs w:val="24"/>
        </w:rPr>
        <w:t>20</w:t>
      </w:r>
      <w:r w:rsidRPr="006C0747">
        <w:rPr>
          <w:rFonts w:ascii="Times New Roman" w:eastAsia="標楷體" w:hAnsi="標楷體" w:hint="eastAsia"/>
          <w:szCs w:val="24"/>
        </w:rPr>
        <w:t>題，此設定只用於精熟能力等級最低加權分數計算之使用，而非該答對題數已達聽力「精熟」等級之門檻。</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B07D9"/>
    <w:multiLevelType w:val="hybridMultilevel"/>
    <w:tmpl w:val="6FAA5B1E"/>
    <w:lvl w:ilvl="0" w:tplc="F97484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CFB2B70"/>
    <w:multiLevelType w:val="hybridMultilevel"/>
    <w:tmpl w:val="5EC0589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D30"/>
    <w:rsid w:val="0004274C"/>
    <w:rsid w:val="00046D68"/>
    <w:rsid w:val="00050115"/>
    <w:rsid w:val="0006689A"/>
    <w:rsid w:val="00074730"/>
    <w:rsid w:val="00091919"/>
    <w:rsid w:val="000B678F"/>
    <w:rsid w:val="000D1766"/>
    <w:rsid w:val="000F59D9"/>
    <w:rsid w:val="00113CE9"/>
    <w:rsid w:val="00120706"/>
    <w:rsid w:val="00121583"/>
    <w:rsid w:val="001305AD"/>
    <w:rsid w:val="001753B7"/>
    <w:rsid w:val="00182DCF"/>
    <w:rsid w:val="001D0256"/>
    <w:rsid w:val="001D64D8"/>
    <w:rsid w:val="001E3522"/>
    <w:rsid w:val="001F2D2D"/>
    <w:rsid w:val="001F4108"/>
    <w:rsid w:val="00204D6E"/>
    <w:rsid w:val="00286499"/>
    <w:rsid w:val="002A0915"/>
    <w:rsid w:val="002A2CE0"/>
    <w:rsid w:val="002C41A9"/>
    <w:rsid w:val="00312A2C"/>
    <w:rsid w:val="00347D56"/>
    <w:rsid w:val="00350933"/>
    <w:rsid w:val="0036770D"/>
    <w:rsid w:val="0038337D"/>
    <w:rsid w:val="00393B48"/>
    <w:rsid w:val="003A17CC"/>
    <w:rsid w:val="003C18AF"/>
    <w:rsid w:val="003F5DBE"/>
    <w:rsid w:val="00456E7A"/>
    <w:rsid w:val="0047335D"/>
    <w:rsid w:val="00474A5E"/>
    <w:rsid w:val="0048270A"/>
    <w:rsid w:val="004A1F05"/>
    <w:rsid w:val="004B634E"/>
    <w:rsid w:val="004B6F69"/>
    <w:rsid w:val="004C428F"/>
    <w:rsid w:val="004D78D4"/>
    <w:rsid w:val="004F424A"/>
    <w:rsid w:val="00513978"/>
    <w:rsid w:val="0052790B"/>
    <w:rsid w:val="00563860"/>
    <w:rsid w:val="005944D6"/>
    <w:rsid w:val="005B1B76"/>
    <w:rsid w:val="005D1823"/>
    <w:rsid w:val="005D1A4E"/>
    <w:rsid w:val="005D4852"/>
    <w:rsid w:val="005E1F6B"/>
    <w:rsid w:val="005F31E7"/>
    <w:rsid w:val="006064D0"/>
    <w:rsid w:val="0062419E"/>
    <w:rsid w:val="0063779A"/>
    <w:rsid w:val="00640375"/>
    <w:rsid w:val="00653331"/>
    <w:rsid w:val="00660E40"/>
    <w:rsid w:val="00664F12"/>
    <w:rsid w:val="0069581A"/>
    <w:rsid w:val="006B75D3"/>
    <w:rsid w:val="006C0747"/>
    <w:rsid w:val="006F3413"/>
    <w:rsid w:val="0070661C"/>
    <w:rsid w:val="0071403A"/>
    <w:rsid w:val="00726D0A"/>
    <w:rsid w:val="007A3635"/>
    <w:rsid w:val="007B3E91"/>
    <w:rsid w:val="007B439B"/>
    <w:rsid w:val="007C57EA"/>
    <w:rsid w:val="007C6F8E"/>
    <w:rsid w:val="00804C65"/>
    <w:rsid w:val="00842C51"/>
    <w:rsid w:val="008600C9"/>
    <w:rsid w:val="00882656"/>
    <w:rsid w:val="00894C1C"/>
    <w:rsid w:val="008B162B"/>
    <w:rsid w:val="008E54D0"/>
    <w:rsid w:val="008F118E"/>
    <w:rsid w:val="00912E19"/>
    <w:rsid w:val="009146AD"/>
    <w:rsid w:val="009171FF"/>
    <w:rsid w:val="009311D0"/>
    <w:rsid w:val="009334E4"/>
    <w:rsid w:val="00933EC0"/>
    <w:rsid w:val="00940318"/>
    <w:rsid w:val="0095365B"/>
    <w:rsid w:val="00972D30"/>
    <w:rsid w:val="009A47E0"/>
    <w:rsid w:val="009A5073"/>
    <w:rsid w:val="009B0B3C"/>
    <w:rsid w:val="009C0A38"/>
    <w:rsid w:val="009F54CC"/>
    <w:rsid w:val="00A02292"/>
    <w:rsid w:val="00A24C74"/>
    <w:rsid w:val="00A475B2"/>
    <w:rsid w:val="00AB35B1"/>
    <w:rsid w:val="00AC1928"/>
    <w:rsid w:val="00B03DF1"/>
    <w:rsid w:val="00B10A0F"/>
    <w:rsid w:val="00B172A1"/>
    <w:rsid w:val="00B52E52"/>
    <w:rsid w:val="00B65D0F"/>
    <w:rsid w:val="00B927BA"/>
    <w:rsid w:val="00BB6FC9"/>
    <w:rsid w:val="00BD4D7C"/>
    <w:rsid w:val="00BD6F2F"/>
    <w:rsid w:val="00BD722F"/>
    <w:rsid w:val="00BF3322"/>
    <w:rsid w:val="00C17DAC"/>
    <w:rsid w:val="00C2129D"/>
    <w:rsid w:val="00C23EA2"/>
    <w:rsid w:val="00C42BE9"/>
    <w:rsid w:val="00C54894"/>
    <w:rsid w:val="00C64078"/>
    <w:rsid w:val="00C65B32"/>
    <w:rsid w:val="00CA322C"/>
    <w:rsid w:val="00CA5760"/>
    <w:rsid w:val="00CA66D6"/>
    <w:rsid w:val="00CF691C"/>
    <w:rsid w:val="00D03DCF"/>
    <w:rsid w:val="00D111C2"/>
    <w:rsid w:val="00D15AB5"/>
    <w:rsid w:val="00D17E74"/>
    <w:rsid w:val="00D57939"/>
    <w:rsid w:val="00D942C7"/>
    <w:rsid w:val="00DD0347"/>
    <w:rsid w:val="00DD44C2"/>
    <w:rsid w:val="00DD5C22"/>
    <w:rsid w:val="00DE2159"/>
    <w:rsid w:val="00DE25A3"/>
    <w:rsid w:val="00DE6B8E"/>
    <w:rsid w:val="00E14969"/>
    <w:rsid w:val="00E3754C"/>
    <w:rsid w:val="00EA5498"/>
    <w:rsid w:val="00EE6ED1"/>
    <w:rsid w:val="00EF1DB4"/>
    <w:rsid w:val="00F2568C"/>
    <w:rsid w:val="00F51808"/>
    <w:rsid w:val="00F56387"/>
    <w:rsid w:val="00F57C8C"/>
    <w:rsid w:val="00FB5091"/>
    <w:rsid w:val="00FD0D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82DC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uiPriority w:val="99"/>
    <w:rsid w:val="00182DCF"/>
    <w:pPr>
      <w:ind w:leftChars="200" w:left="480"/>
    </w:pPr>
  </w:style>
  <w:style w:type="table" w:styleId="TableGrid">
    <w:name w:val="Table Grid"/>
    <w:basedOn w:val="TableNormal"/>
    <w:uiPriority w:val="99"/>
    <w:rsid w:val="005F31E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40318"/>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940318"/>
    <w:rPr>
      <w:sz w:val="20"/>
    </w:rPr>
  </w:style>
  <w:style w:type="paragraph" w:styleId="Footer">
    <w:name w:val="footer"/>
    <w:basedOn w:val="Normal"/>
    <w:link w:val="FooterChar"/>
    <w:uiPriority w:val="99"/>
    <w:rsid w:val="00940318"/>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940318"/>
    <w:rPr>
      <w:sz w:val="20"/>
    </w:rPr>
  </w:style>
  <w:style w:type="paragraph" w:styleId="BalloonText">
    <w:name w:val="Balloon Text"/>
    <w:basedOn w:val="Normal"/>
    <w:link w:val="BalloonTextChar"/>
    <w:uiPriority w:val="99"/>
    <w:semiHidden/>
    <w:rsid w:val="00940318"/>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940318"/>
    <w:rPr>
      <w:rFonts w:ascii="Cambria" w:eastAsia="新細明體" w:hAnsi="Cambria"/>
      <w:sz w:val="18"/>
    </w:rPr>
  </w:style>
  <w:style w:type="character" w:styleId="PageNumber">
    <w:name w:val="page number"/>
    <w:basedOn w:val="DefaultParagraphFont"/>
    <w:uiPriority w:val="99"/>
    <w:rsid w:val="004A1F05"/>
    <w:rPr>
      <w:rFonts w:cs="Times New Roman"/>
    </w:rPr>
  </w:style>
  <w:style w:type="paragraph" w:styleId="ListParagraph">
    <w:name w:val="List Paragraph"/>
    <w:basedOn w:val="Normal"/>
    <w:uiPriority w:val="99"/>
    <w:qFormat/>
    <w:rsid w:val="00393B48"/>
    <w:pPr>
      <w:ind w:leftChars="200" w:left="480"/>
    </w:pPr>
  </w:style>
  <w:style w:type="paragraph" w:styleId="FootnoteText">
    <w:name w:val="footnote text"/>
    <w:basedOn w:val="Normal"/>
    <w:link w:val="FootnoteTextChar"/>
    <w:uiPriority w:val="99"/>
    <w:rsid w:val="000B678F"/>
    <w:pPr>
      <w:snapToGrid w:val="0"/>
    </w:pPr>
    <w:rPr>
      <w:sz w:val="20"/>
      <w:szCs w:val="20"/>
    </w:rPr>
  </w:style>
  <w:style w:type="character" w:customStyle="1" w:styleId="FootnoteTextChar">
    <w:name w:val="Footnote Text Char"/>
    <w:basedOn w:val="DefaultParagraphFont"/>
    <w:link w:val="FootnoteText"/>
    <w:uiPriority w:val="99"/>
    <w:locked/>
    <w:rsid w:val="000B678F"/>
    <w:rPr>
      <w:kern w:val="2"/>
    </w:rPr>
  </w:style>
  <w:style w:type="character" w:styleId="FootnoteReference">
    <w:name w:val="footnote reference"/>
    <w:basedOn w:val="DefaultParagraphFont"/>
    <w:uiPriority w:val="99"/>
    <w:rsid w:val="000B678F"/>
    <w:rPr>
      <w:rFonts w:cs="Times New Roman"/>
      <w:vertAlign w:val="superscript"/>
    </w:rPr>
  </w:style>
  <w:style w:type="paragraph" w:customStyle="1" w:styleId="11">
    <w:name w:val="清單段落11"/>
    <w:basedOn w:val="Normal"/>
    <w:uiPriority w:val="99"/>
    <w:rsid w:val="008B162B"/>
    <w:pPr>
      <w:ind w:leftChars="200" w:left="480"/>
    </w:pPr>
  </w:style>
</w:styles>
</file>

<file path=word/webSettings.xml><?xml version="1.0" encoding="utf-8"?>
<w:webSettings xmlns:r="http://schemas.openxmlformats.org/officeDocument/2006/relationships" xmlns:w="http://schemas.openxmlformats.org/wordprocessingml/2006/main">
  <w:divs>
    <w:div w:id="1986741561">
      <w:marLeft w:val="0"/>
      <w:marRight w:val="0"/>
      <w:marTop w:val="0"/>
      <w:marBottom w:val="0"/>
      <w:divBdr>
        <w:top w:val="none" w:sz="0" w:space="0" w:color="auto"/>
        <w:left w:val="none" w:sz="0" w:space="0" w:color="auto"/>
        <w:bottom w:val="none" w:sz="0" w:space="0" w:color="auto"/>
        <w:right w:val="none" w:sz="0" w:space="0" w:color="auto"/>
      </w:divBdr>
    </w:div>
    <w:div w:id="1986741562">
      <w:marLeft w:val="0"/>
      <w:marRight w:val="0"/>
      <w:marTop w:val="0"/>
      <w:marBottom w:val="0"/>
      <w:divBdr>
        <w:top w:val="none" w:sz="0" w:space="0" w:color="auto"/>
        <w:left w:val="none" w:sz="0" w:space="0" w:color="auto"/>
        <w:bottom w:val="none" w:sz="0" w:space="0" w:color="auto"/>
        <w:right w:val="none" w:sz="0" w:space="0" w:color="auto"/>
      </w:divBdr>
    </w:div>
    <w:div w:id="1986741563">
      <w:marLeft w:val="0"/>
      <w:marRight w:val="0"/>
      <w:marTop w:val="0"/>
      <w:marBottom w:val="0"/>
      <w:divBdr>
        <w:top w:val="none" w:sz="0" w:space="0" w:color="auto"/>
        <w:left w:val="none" w:sz="0" w:space="0" w:color="auto"/>
        <w:bottom w:val="none" w:sz="0" w:space="0" w:color="auto"/>
        <w:right w:val="none" w:sz="0" w:space="0" w:color="auto"/>
      </w:divBdr>
    </w:div>
    <w:div w:id="1986741564">
      <w:marLeft w:val="0"/>
      <w:marRight w:val="0"/>
      <w:marTop w:val="0"/>
      <w:marBottom w:val="0"/>
      <w:divBdr>
        <w:top w:val="none" w:sz="0" w:space="0" w:color="auto"/>
        <w:left w:val="none" w:sz="0" w:space="0" w:color="auto"/>
        <w:bottom w:val="none" w:sz="0" w:space="0" w:color="auto"/>
        <w:right w:val="none" w:sz="0" w:space="0" w:color="auto"/>
      </w:divBdr>
    </w:div>
    <w:div w:id="1986741565">
      <w:marLeft w:val="0"/>
      <w:marRight w:val="0"/>
      <w:marTop w:val="0"/>
      <w:marBottom w:val="0"/>
      <w:divBdr>
        <w:top w:val="none" w:sz="0" w:space="0" w:color="auto"/>
        <w:left w:val="none" w:sz="0" w:space="0" w:color="auto"/>
        <w:bottom w:val="none" w:sz="0" w:space="0" w:color="auto"/>
        <w:right w:val="none" w:sz="0" w:space="0" w:color="auto"/>
      </w:divBdr>
    </w:div>
    <w:div w:id="1986741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1172</Words>
  <Characters>6685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國中教育會考英語科計分方式</dc:title>
  <dc:subject/>
  <dc:creator>vera</dc:creator>
  <cp:keywords/>
  <dc:description/>
  <cp:lastModifiedBy>user</cp:lastModifiedBy>
  <cp:revision>2</cp:revision>
  <cp:lastPrinted>2014-11-13T08:51:00Z</cp:lastPrinted>
  <dcterms:created xsi:type="dcterms:W3CDTF">2014-12-12T04:31:00Z</dcterms:created>
  <dcterms:modified xsi:type="dcterms:W3CDTF">2014-12-12T04:31:00Z</dcterms:modified>
</cp:coreProperties>
</file>