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臺南市政府及所屬各機關學校公務人員獎懲案件</w:t>
      </w:r>
    </w:p>
    <w:p w:rsidR="00E8342C" w:rsidRPr="00E8342C" w:rsidRDefault="00E8342C" w:rsidP="00E8342C">
      <w:pPr>
        <w:autoSpaceDE w:val="0"/>
        <w:autoSpaceDN w:val="0"/>
        <w:adjustRightInd w:val="0"/>
        <w:spacing w:line="480" w:lineRule="exact"/>
        <w:rPr>
          <w:rFonts w:ascii="標楷體" w:eastAsia="標楷體" w:hAnsi="標楷體" w:cs="DFKaiShu-SB-Estd-BF"/>
          <w:b/>
          <w:kern w:val="0"/>
          <w:sz w:val="36"/>
          <w:szCs w:val="39"/>
        </w:rPr>
      </w:pPr>
      <w:r w:rsidRPr="00E8342C">
        <w:rPr>
          <w:rFonts w:ascii="標楷體" w:eastAsia="標楷體" w:hAnsi="標楷體" w:cs="DFKaiShu-SB-Estd-BF" w:hint="eastAsia"/>
          <w:b/>
          <w:kern w:val="0"/>
          <w:sz w:val="36"/>
          <w:szCs w:val="39"/>
        </w:rPr>
        <w:t>處理要點</w:t>
      </w:r>
    </w:p>
    <w:p w:rsidR="00E8342C" w:rsidRDefault="00E8342C" w:rsidP="00E8342C">
      <w:pPr>
        <w:autoSpaceDE w:val="0"/>
        <w:autoSpaceDN w:val="0"/>
        <w:adjustRightInd w:val="0"/>
        <w:jc w:val="right"/>
        <w:rPr>
          <w:rFonts w:ascii="標楷體" w:eastAsia="標楷體" w:hAnsi="標楷體" w:cs="DFKaiShu-SB-Estd-BF" w:hint="eastAsia"/>
          <w:kern w:val="0"/>
          <w:sz w:val="23"/>
          <w:szCs w:val="23"/>
        </w:rPr>
      </w:pPr>
      <w:r w:rsidRPr="00E8342C">
        <w:rPr>
          <w:rFonts w:ascii="標楷體" w:eastAsia="標楷體" w:hAnsi="標楷體" w:cs="DFKaiShu-SB-Estd-BF" w:hint="eastAsia"/>
          <w:kern w:val="0"/>
          <w:sz w:val="23"/>
          <w:szCs w:val="23"/>
        </w:rPr>
        <w:t>中華民國</w:t>
      </w:r>
      <w:r w:rsidRPr="00E8342C">
        <w:rPr>
          <w:rFonts w:ascii="標楷體" w:eastAsia="標楷體" w:hAnsi="標楷體" w:cs="DFKaiShu-SB-Estd-BF"/>
          <w:kern w:val="0"/>
          <w:sz w:val="23"/>
          <w:szCs w:val="23"/>
        </w:rPr>
        <w:t>100</w:t>
      </w:r>
      <w:r w:rsidRPr="00E8342C">
        <w:rPr>
          <w:rFonts w:ascii="標楷體" w:eastAsia="標楷體" w:hAnsi="標楷體" w:cs="DFKaiShu-SB-Estd-BF" w:hint="eastAsia"/>
          <w:kern w:val="0"/>
          <w:sz w:val="23"/>
          <w:szCs w:val="23"/>
        </w:rPr>
        <w:t>年</w:t>
      </w:r>
      <w:r w:rsidRPr="00E8342C">
        <w:rPr>
          <w:rFonts w:ascii="標楷體" w:eastAsia="標楷體" w:hAnsi="標楷體" w:cs="DFKaiShu-SB-Estd-BF"/>
          <w:kern w:val="0"/>
          <w:sz w:val="23"/>
          <w:szCs w:val="23"/>
        </w:rPr>
        <w:t>3</w:t>
      </w:r>
      <w:r w:rsidRPr="00E8342C">
        <w:rPr>
          <w:rFonts w:ascii="標楷體" w:eastAsia="標楷體" w:hAnsi="標楷體" w:cs="DFKaiShu-SB-Estd-BF" w:hint="eastAsia"/>
          <w:kern w:val="0"/>
          <w:sz w:val="23"/>
          <w:szCs w:val="23"/>
        </w:rPr>
        <w:t>月</w:t>
      </w:r>
      <w:r w:rsidRPr="00E8342C">
        <w:rPr>
          <w:rFonts w:ascii="標楷體" w:eastAsia="標楷體" w:hAnsi="標楷體" w:cs="DFKaiShu-SB-Estd-BF"/>
          <w:kern w:val="0"/>
          <w:sz w:val="23"/>
          <w:szCs w:val="23"/>
        </w:rPr>
        <w:t>21</w:t>
      </w:r>
      <w:r w:rsidRPr="00E8342C">
        <w:rPr>
          <w:rFonts w:ascii="標楷體" w:eastAsia="標楷體" w:hAnsi="標楷體" w:cs="DFKaiShu-SB-Estd-BF" w:hint="eastAsia"/>
          <w:kern w:val="0"/>
          <w:sz w:val="23"/>
          <w:szCs w:val="23"/>
        </w:rPr>
        <w:t>日府人考字第</w:t>
      </w:r>
      <w:r w:rsidRPr="00E8342C">
        <w:rPr>
          <w:rFonts w:ascii="標楷體" w:eastAsia="標楷體" w:hAnsi="標楷體" w:cs="DFKaiShu-SB-Estd-BF"/>
          <w:kern w:val="0"/>
          <w:sz w:val="23"/>
          <w:szCs w:val="23"/>
        </w:rPr>
        <w:t>1000096442</w:t>
      </w:r>
      <w:r w:rsidRPr="00E8342C">
        <w:rPr>
          <w:rFonts w:ascii="標楷體" w:eastAsia="標楷體" w:hAnsi="標楷體" w:cs="DFKaiShu-SB-Estd-BF" w:hint="eastAsia"/>
          <w:kern w:val="0"/>
          <w:sz w:val="23"/>
          <w:szCs w:val="23"/>
        </w:rPr>
        <w:t>號函訂頒</w:t>
      </w:r>
    </w:p>
    <w:p w:rsidR="005C7E63" w:rsidRPr="005C7E63" w:rsidRDefault="005C7E63" w:rsidP="00E8342C">
      <w:pPr>
        <w:autoSpaceDE w:val="0"/>
        <w:autoSpaceDN w:val="0"/>
        <w:adjustRightInd w:val="0"/>
        <w:jc w:val="right"/>
        <w:rPr>
          <w:rFonts w:ascii="標楷體" w:eastAsia="標楷體" w:hAnsi="標楷體" w:cs="DFKaiShu-SB-Estd-BF"/>
          <w:kern w:val="0"/>
          <w:sz w:val="23"/>
          <w:szCs w:val="23"/>
        </w:rPr>
      </w:pPr>
      <w:r w:rsidRPr="00E8342C">
        <w:rPr>
          <w:rFonts w:ascii="標楷體" w:eastAsia="標楷體" w:hAnsi="標楷體" w:cs="DFKaiShu-SB-Estd-BF" w:hint="eastAsia"/>
          <w:kern w:val="0"/>
          <w:sz w:val="23"/>
          <w:szCs w:val="23"/>
        </w:rPr>
        <w:t>中華民國</w:t>
      </w:r>
      <w:r w:rsidRPr="00E8342C">
        <w:rPr>
          <w:rFonts w:ascii="標楷體" w:eastAsia="標楷體" w:hAnsi="標楷體" w:cs="DFKaiShu-SB-Estd-BF"/>
          <w:kern w:val="0"/>
          <w:sz w:val="23"/>
          <w:szCs w:val="23"/>
        </w:rPr>
        <w:t>100</w:t>
      </w:r>
      <w:r w:rsidRPr="00E8342C">
        <w:rPr>
          <w:rFonts w:ascii="標楷體" w:eastAsia="標楷體" w:hAnsi="標楷體" w:cs="DFKaiShu-SB-Estd-BF" w:hint="eastAsia"/>
          <w:kern w:val="0"/>
          <w:sz w:val="23"/>
          <w:szCs w:val="23"/>
        </w:rPr>
        <w:t>年</w:t>
      </w:r>
      <w:r>
        <w:rPr>
          <w:rFonts w:ascii="標楷體" w:eastAsia="標楷體" w:hAnsi="標楷體" w:cs="DFKaiShu-SB-Estd-BF" w:hint="eastAsia"/>
          <w:kern w:val="0"/>
          <w:sz w:val="23"/>
          <w:szCs w:val="23"/>
        </w:rPr>
        <w:t>10</w:t>
      </w:r>
      <w:r w:rsidRPr="00E8342C">
        <w:rPr>
          <w:rFonts w:ascii="標楷體" w:eastAsia="標楷體" w:hAnsi="標楷體" w:cs="DFKaiShu-SB-Estd-BF" w:hint="eastAsia"/>
          <w:kern w:val="0"/>
          <w:sz w:val="23"/>
          <w:szCs w:val="23"/>
        </w:rPr>
        <w:t>月</w:t>
      </w:r>
      <w:r>
        <w:rPr>
          <w:rFonts w:ascii="標楷體" w:eastAsia="標楷體" w:hAnsi="標楷體" w:cs="DFKaiShu-SB-Estd-BF" w:hint="eastAsia"/>
          <w:kern w:val="0"/>
          <w:sz w:val="23"/>
          <w:szCs w:val="23"/>
        </w:rPr>
        <w:t>1</w:t>
      </w:r>
      <w:r w:rsidRPr="00E8342C">
        <w:rPr>
          <w:rFonts w:ascii="標楷體" w:eastAsia="標楷體" w:hAnsi="標楷體" w:cs="DFKaiShu-SB-Estd-BF"/>
          <w:kern w:val="0"/>
          <w:sz w:val="23"/>
          <w:szCs w:val="23"/>
        </w:rPr>
        <w:t>2</w:t>
      </w:r>
      <w:r w:rsidRPr="00E8342C">
        <w:rPr>
          <w:rFonts w:ascii="標楷體" w:eastAsia="標楷體" w:hAnsi="標楷體" w:cs="DFKaiShu-SB-Estd-BF" w:hint="eastAsia"/>
          <w:kern w:val="0"/>
          <w:sz w:val="23"/>
          <w:szCs w:val="23"/>
        </w:rPr>
        <w:t>日府人考字第</w:t>
      </w:r>
      <w:r w:rsidRPr="005C7E63">
        <w:rPr>
          <w:rFonts w:ascii="標楷體" w:eastAsia="標楷體" w:hAnsi="標楷體" w:cs="DFKaiShu-SB-Estd-BF"/>
          <w:kern w:val="0"/>
          <w:sz w:val="23"/>
          <w:szCs w:val="23"/>
        </w:rPr>
        <w:t>1050953280</w:t>
      </w:r>
      <w:r w:rsidRPr="00E8342C">
        <w:rPr>
          <w:rFonts w:ascii="標楷體" w:eastAsia="標楷體" w:hAnsi="標楷體" w:cs="DFKaiShu-SB-Estd-BF" w:hint="eastAsia"/>
          <w:kern w:val="0"/>
          <w:sz w:val="23"/>
          <w:szCs w:val="23"/>
        </w:rPr>
        <w:t>號函訂頒</w:t>
      </w:r>
    </w:p>
    <w:p w:rsidR="00E8342C" w:rsidRPr="00E8342C" w:rsidRDefault="00E8342C" w:rsidP="00E8342C">
      <w:pPr>
        <w:autoSpaceDE w:val="0"/>
        <w:autoSpaceDN w:val="0"/>
        <w:adjustRightInd w:val="0"/>
        <w:jc w:val="right"/>
        <w:rPr>
          <w:rFonts w:ascii="標楷體" w:eastAsia="標楷體" w:hAnsi="標楷體" w:cs="DFKaiShu-SB-Estd-BF"/>
          <w:kern w:val="0"/>
          <w:sz w:val="23"/>
          <w:szCs w:val="23"/>
        </w:rPr>
      </w:pP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一、臺南市政府（以下簡稱本府）為處理本府及所屬各機關學校（以下簡稱各機關學校）公務人員獎懲案件，特訂定本要點。</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二、獎懲案件處理原則如下：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（一）各機關學校辦理獎懲案件應本綜覈名實、信賞必罰、獎當其功、懲當其過及獎由下起、懲自上先之原則；恪守獎懲公開之要求，務求客觀公正、適切依法核議。</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（二）獎勵以功績為首，勞績次之。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（三）獎勵應具有激發榮譽感之教育意義，不得以獎示酬。</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（四）各機關學校處理權責內應辦之例行性或經常性事項無特殊成效或具體貢獻者，不予獎勵。</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（五）獎勵應以業務實際承辦人員為優先；懲處應依責任之歸屬以定其對象，不可獎勵均分或爭功諉過。</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（六）各機關學校公務人員因違法失職受處分者，其各級主管人員如事前未善盡督導防範之責或知情不依法處置者，應視情節輕重予以懲處。</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三、獎懲案件處理之權責劃分如下：</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（一）請頒勳章、獎章、褒揚及移付懲戒案件，應層報本府核辦。</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（二）各機關學校人員涉嫌刑事案件者，服務機關學校應辦理事項如下：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、應即查明實情，蒐集事證後，逕送司法機關偵辦；並副知直屬上級機關及本府。</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被通緝或羈押者，服務機關學校應即陳報本府，依公務員懲戒法第四條規定予以停職</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涉嫌犯貪污罪、瀆職罪經起訴者，應即依公務員懲戒法第二</w:t>
      </w:r>
      <w:r w:rsidR="001E0C11" w:rsidRPr="001E0C11">
        <w:rPr>
          <w:rFonts w:ascii="標楷體" w:eastAsia="標楷體" w:hAnsi="標楷體" w:cs="DFKaiShu-SB-Estd-BF" w:hint="eastAsia"/>
          <w:kern w:val="0"/>
          <w:sz w:val="28"/>
          <w:szCs w:val="27"/>
        </w:rPr>
        <w:lastRenderedPageBreak/>
        <w:t>十四條規定檢討擬議送府核辦。其情節重大者，得先行停止職務</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服務機關學校應列管涉案人員訴訟進度，並將偵查結果及各級法院判決結果陳報本府</w:t>
      </w:r>
      <w:r w:rsidRPr="006028D6">
        <w:rPr>
          <w:rFonts w:ascii="標楷體" w:eastAsia="標楷體" w:hAnsi="標楷體" w:cs="DFKaiShu-SB-Estd-BF" w:hint="eastAsia"/>
          <w:kern w:val="0"/>
          <w:sz w:val="28"/>
          <w:szCs w:val="27"/>
        </w:rPr>
        <w:t>。</w:t>
      </w:r>
    </w:p>
    <w:p w:rsidR="00E8342C" w:rsidRDefault="00E8342C" w:rsidP="006028D6">
      <w:pPr>
        <w:autoSpaceDE w:val="0"/>
        <w:autoSpaceDN w:val="0"/>
        <w:adjustRightInd w:val="0"/>
        <w:spacing w:line="480" w:lineRule="exact"/>
        <w:ind w:leftChars="300" w:left="1140" w:hangingChars="150" w:hanging="420"/>
        <w:rPr>
          <w:rFonts w:ascii="標楷體" w:eastAsia="標楷體" w:hAnsi="標楷體" w:cs="DFKaiShu-SB-Estd-BF" w:hint="eastAsia"/>
          <w:kern w:val="0"/>
          <w:sz w:val="28"/>
          <w:szCs w:val="27"/>
        </w:rPr>
      </w:pPr>
      <w:r w:rsidRPr="006028D6">
        <w:rPr>
          <w:rFonts w:ascii="標楷體" w:eastAsia="標楷體" w:hAnsi="標楷體" w:cs="DFKaiShu-SB-Estd-BF"/>
          <w:kern w:val="0"/>
          <w:sz w:val="28"/>
          <w:szCs w:val="27"/>
        </w:rPr>
        <w:t>5</w:t>
      </w:r>
      <w:r w:rsidRPr="006028D6">
        <w:rPr>
          <w:rFonts w:ascii="標楷體" w:eastAsia="標楷體" w:hAnsi="標楷體" w:cs="DFKaiShu-SB-Estd-BF" w:hint="eastAsia"/>
          <w:kern w:val="0"/>
          <w:sz w:val="28"/>
          <w:szCs w:val="27"/>
        </w:rPr>
        <w:t>、</w:t>
      </w:r>
      <w:r w:rsidR="001E0C11" w:rsidRPr="001E0C11">
        <w:rPr>
          <w:rFonts w:ascii="標楷體" w:eastAsia="標楷體" w:hAnsi="標楷體" w:cs="DFKaiShu-SB-Estd-BF" w:hint="eastAsia"/>
          <w:kern w:val="0"/>
          <w:sz w:val="28"/>
          <w:szCs w:val="27"/>
        </w:rPr>
        <w:t>經法院為有罪判決者，應即審究行政責任；未停職且未追究行政責任者，於不起訴處分、緩起訴處分或無罪判決確定後亦同</w:t>
      </w:r>
      <w:r w:rsidRPr="006028D6">
        <w:rPr>
          <w:rFonts w:ascii="標楷體" w:eastAsia="標楷體" w:hAnsi="標楷體" w:cs="DFKaiShu-SB-Estd-BF" w:hint="eastAsia"/>
          <w:kern w:val="0"/>
          <w:sz w:val="28"/>
          <w:szCs w:val="27"/>
        </w:rPr>
        <w:t>。</w:t>
      </w:r>
    </w:p>
    <w:p w:rsidR="001E0C11" w:rsidRPr="001E0C11" w:rsidRDefault="001E0C11"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Pr>
          <w:rFonts w:ascii="標楷體" w:eastAsia="標楷體" w:hAnsi="標楷體" w:cs="DFKaiShu-SB-Estd-BF" w:hint="eastAsia"/>
          <w:kern w:val="0"/>
          <w:sz w:val="28"/>
          <w:szCs w:val="27"/>
        </w:rPr>
        <w:t>6、</w:t>
      </w:r>
      <w:r w:rsidRPr="001E0C11">
        <w:rPr>
          <w:rFonts w:ascii="標楷體" w:eastAsia="標楷體" w:hAnsi="標楷體" w:cs="DFKaiShu-SB-Estd-BF" w:hint="eastAsia"/>
          <w:kern w:val="0"/>
          <w:sz w:val="28"/>
          <w:szCs w:val="27"/>
        </w:rPr>
        <w:t>經有罪判決確定者，應即依公務員懲戒法、公務人員任用法、公務人員考績法等相關規定辦理</w:t>
      </w:r>
      <w:r>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（三）停職、復職及免職案件，均應以最速件層報本府辦理。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（四）各機關學校辦理第（一）款至第（三）款以外之平時獎懲案件，依下列規定辦理：</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、應層報本府核辦者：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）各一級機關及區公所首長之獎懲案件。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）各機關學校公務人員（警察局、消防局警正以下人員除外）記大功、記大過案件。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、授權一級主管機關及區公所核定發布者：</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）一級機關人員（不含警察局、消防局）及區公所記功、記過以下案件。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）二級機關首長、簡任人員記功、記過以下案件。</w:t>
      </w:r>
    </w:p>
    <w:p w:rsidR="00E8342C" w:rsidRPr="006028D6" w:rsidRDefault="00E8342C" w:rsidP="006028D6">
      <w:pPr>
        <w:autoSpaceDE w:val="0"/>
        <w:autoSpaceDN w:val="0"/>
        <w:adjustRightInd w:val="0"/>
        <w:spacing w:line="480" w:lineRule="exact"/>
        <w:ind w:leftChars="400" w:left="1660" w:hangingChars="250" w:hanging="70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w:t>
      </w: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）警察局、消防局警監人員記功、記過以下案件及警正以下人員之記大功、記大過以下案件。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、授權二級機關核定發布者：所屬薦任以下人員記功、記過以下案件。</w:t>
      </w:r>
    </w:p>
    <w:p w:rsidR="00E8342C" w:rsidRPr="006028D6" w:rsidRDefault="00E8342C" w:rsidP="006028D6">
      <w:pPr>
        <w:autoSpaceDE w:val="0"/>
        <w:autoSpaceDN w:val="0"/>
        <w:adjustRightInd w:val="0"/>
        <w:spacing w:line="480" w:lineRule="exact"/>
        <w:ind w:leftChars="300" w:left="1280" w:hangingChars="200" w:hanging="560"/>
        <w:rPr>
          <w:rFonts w:ascii="標楷體" w:eastAsia="標楷體" w:hAnsi="標楷體" w:cs="DFKaiShu-SB-Estd-BF"/>
          <w:kern w:val="0"/>
          <w:sz w:val="28"/>
          <w:szCs w:val="27"/>
        </w:rPr>
      </w:pPr>
      <w:r w:rsidRPr="006028D6">
        <w:rPr>
          <w:rFonts w:ascii="標楷體" w:eastAsia="標楷體" w:hAnsi="標楷體" w:cs="DFKaiShu-SB-Estd-BF"/>
          <w:kern w:val="0"/>
          <w:sz w:val="28"/>
          <w:szCs w:val="27"/>
        </w:rPr>
        <w:t>4</w:t>
      </w:r>
      <w:r w:rsidRPr="006028D6">
        <w:rPr>
          <w:rFonts w:ascii="標楷體" w:eastAsia="標楷體" w:hAnsi="標楷體" w:cs="DFKaiShu-SB-Estd-BF" w:hint="eastAsia"/>
          <w:kern w:val="0"/>
          <w:sz w:val="28"/>
          <w:szCs w:val="27"/>
        </w:rPr>
        <w:t>、各學校校長、教師之獎懲案件，由本府教育局依權責核處。</w:t>
      </w:r>
    </w:p>
    <w:p w:rsidR="00E8342C" w:rsidRPr="006028D6" w:rsidRDefault="00E8342C" w:rsidP="006028D6">
      <w:pPr>
        <w:autoSpaceDE w:val="0"/>
        <w:autoSpaceDN w:val="0"/>
        <w:adjustRightInd w:val="0"/>
        <w:spacing w:line="480" w:lineRule="exact"/>
        <w:ind w:leftChars="100" w:left="80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（五）主計、人事及政風人員之獎懲另有規定者，各依其規定辦理。</w:t>
      </w:r>
    </w:p>
    <w:p w:rsidR="00E8342C" w:rsidRPr="006028D6" w:rsidRDefault="00E8342C" w:rsidP="006028D6">
      <w:pPr>
        <w:autoSpaceDE w:val="0"/>
        <w:autoSpaceDN w:val="0"/>
        <w:adjustRightInd w:val="0"/>
        <w:spacing w:line="480" w:lineRule="exact"/>
        <w:ind w:left="560" w:hangingChars="200" w:hanging="56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四、獎懲案件作業應注意下列事項：</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（一）</w:t>
      </w:r>
      <w:r w:rsidR="001E0C11" w:rsidRPr="001E0C11">
        <w:rPr>
          <w:rFonts w:ascii="標楷體" w:eastAsia="標楷體" w:hAnsi="標楷體" w:cs="DFKaiShu-SB-Estd-BF" w:hint="eastAsia"/>
          <w:kern w:val="0"/>
          <w:sz w:val="28"/>
          <w:szCs w:val="27"/>
        </w:rPr>
        <w:t>獎懲案件應於事實發生後三個月內辦理，逾期辦理者，除特殊正當理由外，應追究延誤責任</w:t>
      </w:r>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lastRenderedPageBreak/>
        <w:t>（二）</w:t>
      </w:r>
      <w:r w:rsidR="001E0C11" w:rsidRPr="001E0C11">
        <w:rPr>
          <w:rFonts w:ascii="標楷體" w:eastAsia="標楷體" w:hAnsi="標楷體" w:cs="DFKaiShu-SB-Estd-BF" w:hint="eastAsia"/>
          <w:kern w:val="0"/>
          <w:sz w:val="28"/>
          <w:szCs w:val="27"/>
        </w:rPr>
        <w:t>同一獎懲案件涉不同機關時，應由主辦機關主動擬定建議獎懲額度、人數或標準，一級機關首長或區公所區長之獎勵，或最高獎勵、懲處額度分別為記一大功、記一大過以上之情形，應具體詳述事由，經簽會本府人事處並陳請市長核准後提本府考績委員會審議；餘經簽會本府人事處並陳請市長核准後函請各機關依獎懲程序辦理。主辦機關未依程序辦理者，本府得重行核議獎懲</w:t>
      </w:r>
      <w:bookmarkStart w:id="0" w:name="_GoBack"/>
      <w:bookmarkEnd w:id="0"/>
      <w:r w:rsidRPr="006028D6">
        <w:rPr>
          <w:rFonts w:ascii="標楷體" w:eastAsia="標楷體" w:hAnsi="標楷體" w:cs="DFKaiShu-SB-Estd-BF" w:hint="eastAsia"/>
          <w:kern w:val="0"/>
          <w:sz w:val="28"/>
          <w:szCs w:val="27"/>
        </w:rPr>
        <w:t>。</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（三）停職、免職及依規定須報由上級機關辦理之平時獎懲案件，均應以獎懲建議函辦理。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（四）獎懲建議函內應詳敘具體事實，擬議具體意見，並註明依據法令，必要時並應檢附有關之證據、資料。</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（五）涉嫌刑責由司法機關偵辦之人員，其服務機關學校應主動與司法機關聯繫，了解訴訟進行狀況，並依規定適時處理。</w:t>
      </w:r>
    </w:p>
    <w:p w:rsidR="00E8342C" w:rsidRPr="006028D6" w:rsidRDefault="00E8342C" w:rsidP="006028D6">
      <w:pPr>
        <w:autoSpaceDE w:val="0"/>
        <w:autoSpaceDN w:val="0"/>
        <w:adjustRightInd w:val="0"/>
        <w:spacing w:line="480" w:lineRule="exact"/>
        <w:ind w:leftChars="100" w:left="1080" w:hangingChars="300" w:hanging="840"/>
        <w:rPr>
          <w:rFonts w:ascii="標楷體" w:eastAsia="標楷體" w:hAnsi="標楷體" w:cs="DFKaiShu-SB-Estd-BF"/>
          <w:kern w:val="0"/>
          <w:sz w:val="28"/>
          <w:szCs w:val="27"/>
        </w:rPr>
      </w:pPr>
      <w:r w:rsidRPr="006028D6">
        <w:rPr>
          <w:rFonts w:ascii="標楷體" w:eastAsia="標楷體" w:hAnsi="標楷體" w:cs="DFKaiShu-SB-Estd-BF" w:hint="eastAsia"/>
          <w:kern w:val="0"/>
          <w:sz w:val="28"/>
          <w:szCs w:val="27"/>
        </w:rPr>
        <w:t>（六）有關復職及行政責任之議處，其處理程序如下：</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1</w:t>
      </w:r>
      <w:r w:rsidRPr="006028D6">
        <w:rPr>
          <w:rFonts w:ascii="標楷體" w:eastAsia="標楷體" w:hAnsi="標楷體" w:cs="DFKaiShu-SB-Estd-BF" w:hint="eastAsia"/>
          <w:kern w:val="0"/>
          <w:sz w:val="28"/>
          <w:szCs w:val="27"/>
        </w:rPr>
        <w:t>、各機關學校人員因涉刑責經核定停職者，於停職事由消滅後三個月內檢附不起訴處分書、判決確定證明書、判決書或其他足資證明停職原因消滅之證明文件向所屬機關學校申請復職。</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2</w:t>
      </w:r>
      <w:r w:rsidRPr="006028D6">
        <w:rPr>
          <w:rFonts w:ascii="標楷體" w:eastAsia="標楷體" w:hAnsi="標楷體" w:cs="DFKaiShu-SB-Estd-BF" w:hint="eastAsia"/>
          <w:kern w:val="0"/>
          <w:sz w:val="28"/>
          <w:szCs w:val="27"/>
        </w:rPr>
        <w:t>、各機關學校受理申請後應審究擬復職者行政責任，依法議處，並將辦理結果併復職案陳報本府核辦。</w:t>
      </w:r>
    </w:p>
    <w:p w:rsidR="00E8342C" w:rsidRPr="006028D6" w:rsidRDefault="00E8342C" w:rsidP="006028D6">
      <w:pPr>
        <w:autoSpaceDE w:val="0"/>
        <w:autoSpaceDN w:val="0"/>
        <w:adjustRightInd w:val="0"/>
        <w:spacing w:line="480" w:lineRule="exact"/>
        <w:ind w:leftChars="300" w:left="1140" w:hangingChars="150" w:hanging="420"/>
        <w:rPr>
          <w:rFonts w:ascii="標楷體" w:eastAsia="標楷體" w:hAnsi="標楷體" w:cs="DFKaiShu-SB-Estd-BF"/>
          <w:kern w:val="0"/>
          <w:sz w:val="28"/>
          <w:szCs w:val="27"/>
        </w:rPr>
      </w:pPr>
      <w:r w:rsidRPr="006028D6">
        <w:rPr>
          <w:rFonts w:ascii="標楷體" w:eastAsia="標楷體" w:hAnsi="標楷體" w:cs="DFKaiShu-SB-Estd-BF"/>
          <w:kern w:val="0"/>
          <w:sz w:val="28"/>
          <w:szCs w:val="27"/>
        </w:rPr>
        <w:t>3</w:t>
      </w:r>
      <w:r w:rsidRPr="006028D6">
        <w:rPr>
          <w:rFonts w:ascii="標楷體" w:eastAsia="標楷體" w:hAnsi="標楷體" w:cs="DFKaiShu-SB-Estd-BF" w:hint="eastAsia"/>
          <w:kern w:val="0"/>
          <w:sz w:val="28"/>
          <w:szCs w:val="27"/>
        </w:rPr>
        <w:t>、各機關學校依前目處理後，如認無行政責任，仍應敘明理由，以憑核辦。</w:t>
      </w:r>
    </w:p>
    <w:p w:rsidR="00BD699B" w:rsidRPr="006028D6" w:rsidRDefault="00E8342C" w:rsidP="006028D6">
      <w:pPr>
        <w:autoSpaceDE w:val="0"/>
        <w:autoSpaceDN w:val="0"/>
        <w:adjustRightInd w:val="0"/>
        <w:spacing w:line="480" w:lineRule="exact"/>
        <w:ind w:leftChars="100" w:left="1080" w:hangingChars="300" w:hanging="840"/>
        <w:rPr>
          <w:rFonts w:ascii="標楷體" w:eastAsia="標楷體" w:hAnsi="標楷體"/>
          <w:sz w:val="28"/>
        </w:rPr>
      </w:pPr>
      <w:r w:rsidRPr="006028D6">
        <w:rPr>
          <w:rFonts w:ascii="標楷體" w:eastAsia="標楷體" w:hAnsi="標楷體" w:cs="DFKaiShu-SB-Estd-BF" w:hint="eastAsia"/>
          <w:kern w:val="0"/>
          <w:sz w:val="28"/>
          <w:szCs w:val="27"/>
        </w:rPr>
        <w:t>（七）同一案件，涉及核辦權責不同之各官職等人員時，授權由權責機關發布之獎懲，應俟上級機關核定發布後，再依權責辦理。</w:t>
      </w:r>
    </w:p>
    <w:sectPr w:rsidR="00BD699B" w:rsidRPr="006028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8E" w:rsidRDefault="008D688E" w:rsidP="005C7E63">
      <w:r>
        <w:separator/>
      </w:r>
    </w:p>
  </w:endnote>
  <w:endnote w:type="continuationSeparator" w:id="0">
    <w:p w:rsidR="008D688E" w:rsidRDefault="008D688E" w:rsidP="005C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8E" w:rsidRDefault="008D688E" w:rsidP="005C7E63">
      <w:r>
        <w:separator/>
      </w:r>
    </w:p>
  </w:footnote>
  <w:footnote w:type="continuationSeparator" w:id="0">
    <w:p w:rsidR="008D688E" w:rsidRDefault="008D688E" w:rsidP="005C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2C"/>
    <w:rsid w:val="001E0C11"/>
    <w:rsid w:val="005C7E63"/>
    <w:rsid w:val="006028D6"/>
    <w:rsid w:val="008D688E"/>
    <w:rsid w:val="00AE484D"/>
    <w:rsid w:val="00BD699B"/>
    <w:rsid w:val="00E834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63"/>
    <w:pPr>
      <w:tabs>
        <w:tab w:val="center" w:pos="4153"/>
        <w:tab w:val="right" w:pos="8306"/>
      </w:tabs>
      <w:snapToGrid w:val="0"/>
    </w:pPr>
    <w:rPr>
      <w:sz w:val="20"/>
      <w:szCs w:val="20"/>
    </w:rPr>
  </w:style>
  <w:style w:type="character" w:customStyle="1" w:styleId="a4">
    <w:name w:val="頁首 字元"/>
    <w:basedOn w:val="a0"/>
    <w:link w:val="a3"/>
    <w:uiPriority w:val="99"/>
    <w:rsid w:val="005C7E63"/>
    <w:rPr>
      <w:sz w:val="20"/>
      <w:szCs w:val="20"/>
    </w:rPr>
  </w:style>
  <w:style w:type="paragraph" w:styleId="a5">
    <w:name w:val="footer"/>
    <w:basedOn w:val="a"/>
    <w:link w:val="a6"/>
    <w:uiPriority w:val="99"/>
    <w:unhideWhenUsed/>
    <w:rsid w:val="005C7E63"/>
    <w:pPr>
      <w:tabs>
        <w:tab w:val="center" w:pos="4153"/>
        <w:tab w:val="right" w:pos="8306"/>
      </w:tabs>
      <w:snapToGrid w:val="0"/>
    </w:pPr>
    <w:rPr>
      <w:sz w:val="20"/>
      <w:szCs w:val="20"/>
    </w:rPr>
  </w:style>
  <w:style w:type="character" w:customStyle="1" w:styleId="a6">
    <w:name w:val="頁尾 字元"/>
    <w:basedOn w:val="a0"/>
    <w:link w:val="a5"/>
    <w:uiPriority w:val="99"/>
    <w:rsid w:val="005C7E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6A4E-2DFE-429A-9AA1-EBEAA9A2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265</Words>
  <Characters>1517</Characters>
  <Application>Microsoft Office Word</Application>
  <DocSecurity>0</DocSecurity>
  <Lines>12</Lines>
  <Paragraphs>3</Paragraphs>
  <ScaleCrop>false</ScaleCrop>
  <Company>SYNNEX</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2016-10-11T08:57:00Z</dcterms:created>
  <dcterms:modified xsi:type="dcterms:W3CDTF">2016-10-11T09:52:00Z</dcterms:modified>
</cp:coreProperties>
</file>