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E5" w:rsidRDefault="00C001BB">
      <w:pPr>
        <w:pStyle w:val="Default"/>
        <w:widowControl/>
        <w:spacing w:after="120" w:line="460" w:lineRule="exact"/>
      </w:pPr>
      <w:bookmarkStart w:id="0" w:name="_GoBack"/>
      <w:r>
        <w:rPr>
          <w:rFonts w:ascii="Times New Roman" w:eastAsia="標楷體" w:hAnsi="Times New Roman" w:cs="Times New Roman"/>
          <w:b/>
          <w:sz w:val="40"/>
          <w:szCs w:val="40"/>
        </w:rPr>
        <w:t>教育部國民及學前教育署補助高級中等學校提升</w:t>
      </w:r>
      <w:r>
        <w:rPr>
          <w:rFonts w:ascii="Times New Roman" w:eastAsia="標楷體" w:hAnsi="Times New Roman" w:cs="Times New Roman"/>
          <w:b/>
          <w:sz w:val="40"/>
          <w:szCs w:val="40"/>
        </w:rPr>
        <w:t>辦學品質及學生素質要點修正規定</w:t>
      </w:r>
      <w:bookmarkEnd w:id="0"/>
    </w:p>
    <w:p w:rsidR="008B76E5" w:rsidRDefault="00C001BB">
      <w:pPr>
        <w:pStyle w:val="Default"/>
        <w:spacing w:line="460" w:lineRule="exact"/>
        <w:ind w:left="496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一、教育部國民及學前教育署（以下簡稱本署）為精進高級中等學校（以下簡稱學校）辦學品質及績效，達成提升學生素質之目的，特訂定本要點。</w:t>
      </w:r>
    </w:p>
    <w:p w:rsidR="008B76E5" w:rsidRDefault="00C001BB">
      <w:pPr>
        <w:pStyle w:val="Default"/>
        <w:spacing w:line="460" w:lineRule="exac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二、</w:t>
      </w:r>
      <w:bookmarkStart w:id="1" w:name="_Hlk138940524"/>
      <w:r>
        <w:rPr>
          <w:rFonts w:ascii="標楷體" w:eastAsia="標楷體" w:hAnsi="標楷體" w:cs="Times New Roman"/>
          <w:color w:val="auto"/>
          <w:sz w:val="28"/>
          <w:szCs w:val="28"/>
        </w:rPr>
        <w:t>本要點補助對象為全國公、私立高級中等學校。</w:t>
      </w:r>
    </w:p>
    <w:p w:rsidR="008B76E5" w:rsidRDefault="00C001BB">
      <w:pPr>
        <w:pStyle w:val="Default"/>
        <w:spacing w:line="460" w:lineRule="exac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三、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本要點補助項目如下：</w:t>
      </w:r>
    </w:p>
    <w:p w:rsidR="008B76E5" w:rsidRDefault="00C001BB">
      <w:pPr>
        <w:pStyle w:val="Default"/>
        <w:spacing w:line="460" w:lineRule="exact"/>
        <w:ind w:left="425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（一）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學校辦理語文研習、競賽及活動相關經費。</w:t>
      </w:r>
    </w:p>
    <w:p w:rsidR="008B76E5" w:rsidRDefault="00C001BB">
      <w:pPr>
        <w:pStyle w:val="Default"/>
        <w:spacing w:line="460" w:lineRule="exact"/>
        <w:ind w:left="42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（二）加強科學教育：</w:t>
      </w:r>
    </w:p>
    <w:p w:rsidR="008B76E5" w:rsidRDefault="00C001BB">
      <w:pPr>
        <w:pStyle w:val="Default"/>
        <w:spacing w:line="460" w:lineRule="exact"/>
        <w:ind w:left="1133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1.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參加競賽獲獎學校予以補助經費及承辦競賽學校相關經費。</w:t>
      </w:r>
    </w:p>
    <w:p w:rsidR="008B76E5" w:rsidRDefault="00C001BB">
      <w:pPr>
        <w:pStyle w:val="Default"/>
        <w:spacing w:line="460" w:lineRule="exact"/>
        <w:ind w:left="113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2.</w:t>
      </w:r>
      <w:r>
        <w:rPr>
          <w:rFonts w:ascii="Times New Roman" w:eastAsia="標楷體" w:hAnsi="Times New Roman" w:cs="Times New Roman"/>
          <w:sz w:val="28"/>
          <w:szCs w:val="28"/>
        </w:rPr>
        <w:t>學校實驗室耗材及器材設備經費。</w:t>
      </w:r>
    </w:p>
    <w:p w:rsidR="008B76E5" w:rsidRDefault="00C001BB">
      <w:pPr>
        <w:pStyle w:val="Default"/>
        <w:spacing w:line="460" w:lineRule="exact"/>
        <w:ind w:left="425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（三）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學校購置圖書館館藏及相關設備經費。</w:t>
      </w:r>
    </w:p>
    <w:p w:rsidR="008B76E5" w:rsidRDefault="00C001BB">
      <w:pPr>
        <w:pStyle w:val="Default"/>
        <w:spacing w:line="460" w:lineRule="exact"/>
        <w:ind w:left="425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（四）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學校辦理性別平等教育、學生事務及輔導各項工作經費。</w:t>
      </w:r>
    </w:p>
    <w:p w:rsidR="008B76E5" w:rsidRDefault="00C001BB">
      <w:pPr>
        <w:pStyle w:val="Default"/>
        <w:spacing w:line="460" w:lineRule="exact"/>
        <w:ind w:left="425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（五）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僑生輔導經費及私立學校聘任僑生輔導人員經費。</w:t>
      </w:r>
    </w:p>
    <w:p w:rsidR="008B76E5" w:rsidRDefault="00C001BB">
      <w:pPr>
        <w:pStyle w:val="Default"/>
        <w:spacing w:line="460" w:lineRule="exact"/>
        <w:ind w:left="1273" w:hanging="848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（六）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學校辦理海外交流、臺商子女回國就學宣導及其他相關活動經費。</w:t>
      </w:r>
    </w:p>
    <w:p w:rsidR="008B76E5" w:rsidRDefault="00C001BB">
      <w:pPr>
        <w:pStyle w:val="Standard"/>
        <w:spacing w:line="460" w:lineRule="exact"/>
        <w:ind w:left="1251" w:hanging="826"/>
        <w:jc w:val="both"/>
      </w:pPr>
      <w:r>
        <w:rPr>
          <w:rFonts w:eastAsia="標楷體"/>
          <w:color w:val="000000"/>
          <w:kern w:val="0"/>
          <w:sz w:val="28"/>
          <w:szCs w:val="28"/>
        </w:rPr>
        <w:t>（七）</w:t>
      </w:r>
      <w:r>
        <w:rPr>
          <w:rFonts w:ascii="標楷體" w:eastAsia="標楷體" w:hAnsi="標楷體"/>
          <w:sz w:val="28"/>
          <w:szCs w:val="28"/>
        </w:rPr>
        <w:t>學校改善教學環境，包括老舊校舍耐震能力評估、補強工程、營建工程及其他有緊急需求經費。</w:t>
      </w:r>
    </w:p>
    <w:p w:rsidR="008B76E5" w:rsidRDefault="00C001BB">
      <w:pPr>
        <w:pStyle w:val="Standard"/>
        <w:spacing w:line="460" w:lineRule="exact"/>
        <w:ind w:left="1304" w:hanging="850"/>
        <w:jc w:val="both"/>
      </w:pPr>
      <w:r>
        <w:rPr>
          <w:rFonts w:eastAsia="標楷體"/>
          <w:color w:val="000000"/>
          <w:kern w:val="0"/>
          <w:sz w:val="28"/>
          <w:szCs w:val="28"/>
        </w:rPr>
        <w:t>（八）</w:t>
      </w:r>
      <w:r>
        <w:rPr>
          <w:rFonts w:ascii="標楷體" w:eastAsia="標楷體" w:hAnsi="標楷體"/>
          <w:sz w:val="28"/>
          <w:szCs w:val="28"/>
        </w:rPr>
        <w:t>其他辦理提升</w:t>
      </w:r>
      <w:r>
        <w:rPr>
          <w:rFonts w:ascii="標楷體" w:eastAsia="標楷體" w:hAnsi="標楷體"/>
          <w:bCs/>
          <w:sz w:val="28"/>
          <w:szCs w:val="28"/>
        </w:rPr>
        <w:t>辦學品質、</w:t>
      </w:r>
      <w:r>
        <w:rPr>
          <w:rFonts w:ascii="標楷體" w:eastAsia="標楷體" w:hAnsi="標楷體"/>
          <w:sz w:val="28"/>
          <w:szCs w:val="28"/>
        </w:rPr>
        <w:t>學生素質各項活動及相關設備經費。</w:t>
      </w:r>
    </w:p>
    <w:p w:rsidR="008B76E5" w:rsidRDefault="00C001BB">
      <w:pPr>
        <w:pStyle w:val="Standard"/>
        <w:spacing w:line="460" w:lineRule="exact"/>
        <w:ind w:left="496" w:hanging="496"/>
        <w:jc w:val="both"/>
      </w:pPr>
      <w:r>
        <w:rPr>
          <w:rFonts w:eastAsia="標楷體"/>
          <w:color w:val="000000"/>
          <w:kern w:val="0"/>
          <w:sz w:val="28"/>
          <w:szCs w:val="28"/>
        </w:rPr>
        <w:t>四、</w:t>
      </w:r>
      <w:r>
        <w:rPr>
          <w:rFonts w:ascii="標楷體" w:eastAsia="標楷體" w:hAnsi="標楷體"/>
          <w:kern w:val="0"/>
          <w:sz w:val="28"/>
          <w:szCs w:val="28"/>
        </w:rPr>
        <w:t>本要點</w:t>
      </w:r>
      <w:r>
        <w:rPr>
          <w:rFonts w:ascii="標楷體" w:eastAsia="標楷體" w:hAnsi="標楷體"/>
          <w:sz w:val="28"/>
          <w:szCs w:val="28"/>
        </w:rPr>
        <w:t>補助對象為直轄市、縣（市）政府（以下簡稱地方政府）主管學校者，應</w:t>
      </w:r>
      <w:r>
        <w:rPr>
          <w:rFonts w:ascii="標楷體" w:eastAsia="標楷體" w:hAnsi="標楷體"/>
          <w:kern w:val="0"/>
          <w:sz w:val="28"/>
          <w:szCs w:val="28"/>
        </w:rPr>
        <w:t>依中央對直轄市及縣（市）政府補助辦法規定及配合本署獲配年度預算額度，就各直轄市、縣（市）政府財力級次，給予不同補助比率。屬第一級者，最高</w:t>
      </w:r>
      <w:r>
        <w:rPr>
          <w:rFonts w:eastAsia="標楷體"/>
          <w:color w:val="000000"/>
          <w:kern w:val="0"/>
          <w:sz w:val="28"/>
          <w:szCs w:val="28"/>
        </w:rPr>
        <w:t>補助</w:t>
      </w:r>
      <w:r>
        <w:rPr>
          <w:rFonts w:ascii="標楷體" w:eastAsia="標楷體" w:hAnsi="標楷體"/>
          <w:kern w:val="0"/>
          <w:sz w:val="28"/>
          <w:szCs w:val="28"/>
        </w:rPr>
        <w:t>補助百分之五十；第二級者，最高補助百分之六十；第三級者，最高補助百分之七十；第四級者，最高補助百分之八十；第五級者，最高補助百分之九十。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8B76E5" w:rsidRDefault="00C001BB">
      <w:pPr>
        <w:pStyle w:val="Standard"/>
        <w:spacing w:line="460" w:lineRule="exact"/>
        <w:jc w:val="both"/>
      </w:pPr>
      <w:r>
        <w:rPr>
          <w:rFonts w:eastAsia="標楷體"/>
          <w:color w:val="000000"/>
          <w:kern w:val="0"/>
          <w:sz w:val="28"/>
          <w:szCs w:val="28"/>
        </w:rPr>
        <w:t>五、</w:t>
      </w:r>
      <w:r>
        <w:rPr>
          <w:rFonts w:ascii="標楷體" w:eastAsia="標楷體" w:hAnsi="標楷體"/>
          <w:kern w:val="0"/>
          <w:sz w:val="28"/>
          <w:szCs w:val="28"/>
        </w:rPr>
        <w:t>本要點補助之申請及審查作業程序，規定如下：</w:t>
      </w:r>
    </w:p>
    <w:p w:rsidR="008B76E5" w:rsidRDefault="00C001BB">
      <w:pPr>
        <w:pStyle w:val="Standard"/>
        <w:spacing w:line="460" w:lineRule="exact"/>
        <w:ind w:left="425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（一）申請程序：</w:t>
      </w:r>
    </w:p>
    <w:p w:rsidR="008B76E5" w:rsidRDefault="00C001BB">
      <w:pPr>
        <w:pStyle w:val="Standard"/>
        <w:spacing w:line="460" w:lineRule="exact"/>
        <w:ind w:left="1133"/>
        <w:jc w:val="both"/>
      </w:pPr>
      <w:r>
        <w:rPr>
          <w:rFonts w:eastAsia="標楷體"/>
          <w:sz w:val="28"/>
          <w:szCs w:val="28"/>
          <w:lang w:eastAsia="zh-TW"/>
        </w:rPr>
        <w:t>1</w:t>
      </w:r>
      <w:r>
        <w:rPr>
          <w:rFonts w:eastAsia="標楷體"/>
          <w:sz w:val="28"/>
          <w:szCs w:val="28"/>
        </w:rPr>
        <w:t>.</w:t>
      </w:r>
      <w:r>
        <w:rPr>
          <w:rFonts w:eastAsia="標楷體"/>
          <w:color w:val="000000"/>
          <w:kern w:val="0"/>
          <w:sz w:val="28"/>
          <w:szCs w:val="28"/>
        </w:rPr>
        <w:t>教育部主管學校：由本署函知各校，逕向本署提出申請。</w:t>
      </w:r>
    </w:p>
    <w:p w:rsidR="008B76E5" w:rsidRDefault="00C001BB">
      <w:pPr>
        <w:pStyle w:val="Standard"/>
        <w:spacing w:line="460" w:lineRule="exact"/>
        <w:ind w:left="1556" w:hanging="423"/>
        <w:jc w:val="both"/>
      </w:pPr>
      <w:r>
        <w:rPr>
          <w:rFonts w:eastAsia="標楷體"/>
          <w:sz w:val="28"/>
          <w:szCs w:val="28"/>
          <w:lang w:eastAsia="zh-TW"/>
        </w:rPr>
        <w:t>2</w:t>
      </w:r>
      <w:r>
        <w:rPr>
          <w:rFonts w:eastAsia="標楷體"/>
          <w:sz w:val="28"/>
          <w:szCs w:val="28"/>
        </w:rPr>
        <w:t>.</w:t>
      </w:r>
      <w:r>
        <w:rPr>
          <w:rFonts w:eastAsia="標楷體"/>
          <w:color w:val="000000"/>
          <w:kern w:val="0"/>
          <w:sz w:val="28"/>
          <w:szCs w:val="28"/>
        </w:rPr>
        <w:t>地方政府主管學校：依本署公</w:t>
      </w:r>
      <w:r>
        <w:rPr>
          <w:rFonts w:eastAsia="標楷體"/>
          <w:color w:val="000000"/>
          <w:kern w:val="0"/>
          <w:sz w:val="28"/>
          <w:szCs w:val="28"/>
        </w:rPr>
        <w:t>告之規定，向各該地方政府申請；經各該地方政府研提意見及排列優先順序後，向本署</w:t>
      </w:r>
      <w:r>
        <w:rPr>
          <w:rFonts w:eastAsia="標楷體"/>
          <w:color w:val="000000"/>
          <w:kern w:val="0"/>
          <w:sz w:val="28"/>
          <w:szCs w:val="28"/>
        </w:rPr>
        <w:lastRenderedPageBreak/>
        <w:t>提出。</w:t>
      </w:r>
    </w:p>
    <w:p w:rsidR="008B76E5" w:rsidRDefault="00C001BB">
      <w:pPr>
        <w:pStyle w:val="Standard"/>
        <w:spacing w:line="460" w:lineRule="exact"/>
        <w:ind w:left="425"/>
        <w:jc w:val="both"/>
      </w:pPr>
      <w:r>
        <w:rPr>
          <w:rFonts w:eastAsia="標楷體"/>
          <w:color w:val="000000"/>
          <w:kern w:val="0"/>
          <w:sz w:val="28"/>
          <w:szCs w:val="28"/>
        </w:rPr>
        <w:t>（二）審查方式：</w:t>
      </w:r>
      <w:r>
        <w:rPr>
          <w:rFonts w:ascii="標楷體" w:eastAsia="標楷體" w:hAnsi="標楷體"/>
          <w:kern w:val="0"/>
          <w:sz w:val="28"/>
          <w:szCs w:val="28"/>
        </w:rPr>
        <w:t>由本署自行或邀請學者專家審查。</w:t>
      </w:r>
    </w:p>
    <w:p w:rsidR="008B76E5" w:rsidRDefault="00C001BB">
      <w:pPr>
        <w:pStyle w:val="Standard"/>
        <w:spacing w:line="460" w:lineRule="exact"/>
        <w:ind w:left="1273" w:hanging="848"/>
        <w:jc w:val="both"/>
      </w:pPr>
      <w:r>
        <w:rPr>
          <w:rFonts w:eastAsia="標楷體"/>
          <w:color w:val="000000"/>
          <w:kern w:val="0"/>
          <w:sz w:val="28"/>
          <w:szCs w:val="28"/>
        </w:rPr>
        <w:t>（三）</w:t>
      </w:r>
      <w:r>
        <w:rPr>
          <w:rFonts w:ascii="標楷體" w:eastAsia="標楷體" w:hAnsi="標楷體"/>
          <w:kern w:val="0"/>
          <w:sz w:val="28"/>
          <w:szCs w:val="28"/>
        </w:rPr>
        <w:t>因競賽或經由會議討論執行重點之工作項目，所需經費由本署審查後，核實補助。</w:t>
      </w:r>
    </w:p>
    <w:p w:rsidR="008B76E5" w:rsidRDefault="00C001BB">
      <w:pPr>
        <w:pStyle w:val="Standard"/>
        <w:spacing w:line="460" w:lineRule="exact"/>
        <w:ind w:left="1273" w:hanging="848"/>
        <w:jc w:val="both"/>
      </w:pPr>
      <w:r>
        <w:rPr>
          <w:rFonts w:eastAsia="標楷體"/>
          <w:color w:val="000000"/>
          <w:kern w:val="0"/>
          <w:sz w:val="28"/>
          <w:szCs w:val="28"/>
        </w:rPr>
        <w:t>（四）</w:t>
      </w:r>
      <w:r>
        <w:rPr>
          <w:rFonts w:ascii="標楷體" w:eastAsia="標楷體" w:hAnsi="標楷體"/>
          <w:kern w:val="0"/>
          <w:sz w:val="28"/>
          <w:szCs w:val="28"/>
        </w:rPr>
        <w:t>依學生人數核計補助經費者，由學校按學期申請，由本署依補助基準逕予核定。</w:t>
      </w:r>
    </w:p>
    <w:p w:rsidR="008B76E5" w:rsidRDefault="00C001BB">
      <w:pPr>
        <w:pStyle w:val="Standard"/>
        <w:spacing w:line="460" w:lineRule="exact"/>
        <w:jc w:val="both"/>
      </w:pPr>
      <w:r>
        <w:rPr>
          <w:rFonts w:eastAsia="標楷體"/>
          <w:color w:val="000000"/>
          <w:kern w:val="0"/>
          <w:sz w:val="28"/>
          <w:szCs w:val="28"/>
        </w:rPr>
        <w:t>六、</w:t>
      </w:r>
      <w:r>
        <w:rPr>
          <w:rFonts w:ascii="標楷體" w:eastAsia="標楷體" w:hAnsi="標楷體"/>
          <w:kern w:val="0"/>
          <w:sz w:val="28"/>
          <w:szCs w:val="28"/>
        </w:rPr>
        <w:t>本要點補助經費之請撥及核銷程序，規定如下：</w:t>
      </w:r>
    </w:p>
    <w:p w:rsidR="008B76E5" w:rsidRDefault="00C001BB">
      <w:pPr>
        <w:pStyle w:val="Standard"/>
        <w:spacing w:line="460" w:lineRule="exact"/>
        <w:ind w:left="1273" w:hanging="848"/>
        <w:jc w:val="both"/>
      </w:pPr>
      <w:r>
        <w:rPr>
          <w:rFonts w:eastAsia="標楷體"/>
          <w:color w:val="000000"/>
          <w:kern w:val="0"/>
          <w:sz w:val="28"/>
          <w:szCs w:val="28"/>
        </w:rPr>
        <w:t>（一）</w:t>
      </w:r>
      <w:r>
        <w:rPr>
          <w:rFonts w:ascii="標楷體" w:eastAsia="標楷體" w:hAnsi="標楷體"/>
          <w:kern w:val="0"/>
          <w:sz w:val="28"/>
          <w:szCs w:val="28"/>
        </w:rPr>
        <w:t>經審查通過予以補助者，由本署函知學校或地方政府掣據送本署憑撥。</w:t>
      </w:r>
    </w:p>
    <w:p w:rsidR="008B76E5" w:rsidRDefault="00C001BB">
      <w:pPr>
        <w:pStyle w:val="Standard"/>
        <w:spacing w:line="460" w:lineRule="exact"/>
        <w:ind w:left="1251" w:hanging="826"/>
        <w:jc w:val="both"/>
      </w:pPr>
      <w:r>
        <w:rPr>
          <w:rFonts w:eastAsia="標楷體"/>
          <w:color w:val="000000"/>
          <w:kern w:val="0"/>
          <w:sz w:val="28"/>
          <w:szCs w:val="28"/>
        </w:rPr>
        <w:t>（二）</w:t>
      </w:r>
      <w:r>
        <w:rPr>
          <w:rFonts w:ascii="標楷體" w:eastAsia="標楷體" w:hAnsi="標楷體"/>
          <w:kern w:val="0"/>
          <w:sz w:val="28"/>
          <w:szCs w:val="28"/>
        </w:rPr>
        <w:t>各項計畫應於每年十二月十日前完成，學校於十二月二十五日前彙整成果報本署；其以學期或學年為辦理時</w:t>
      </w:r>
      <w:r>
        <w:rPr>
          <w:rFonts w:ascii="標楷體" w:eastAsia="標楷體" w:hAnsi="標楷體"/>
          <w:kern w:val="0"/>
          <w:sz w:val="28"/>
          <w:szCs w:val="28"/>
        </w:rPr>
        <w:t>程者，於學期或學年結束後一個月內辦理結報。</w:t>
      </w:r>
    </w:p>
    <w:p w:rsidR="008B76E5" w:rsidRDefault="00C001BB">
      <w:pPr>
        <w:pStyle w:val="Standard"/>
        <w:spacing w:line="460" w:lineRule="exact"/>
        <w:ind w:left="1273" w:hanging="848"/>
        <w:jc w:val="both"/>
      </w:pPr>
      <w:r>
        <w:rPr>
          <w:rFonts w:eastAsia="標楷體"/>
          <w:color w:val="000000"/>
          <w:kern w:val="0"/>
          <w:sz w:val="28"/>
          <w:szCs w:val="28"/>
        </w:rPr>
        <w:t>（三）</w:t>
      </w:r>
      <w:r>
        <w:rPr>
          <w:rFonts w:ascii="標楷體" w:eastAsia="標楷體" w:hAnsi="標楷體"/>
          <w:kern w:val="0"/>
          <w:sz w:val="28"/>
          <w:szCs w:val="28"/>
        </w:rPr>
        <w:t>學校應妥善保存原始支出憑證備查；其有餘款者，應於每年十二月十五日前繳回。</w:t>
      </w:r>
    </w:p>
    <w:p w:rsidR="008B76E5" w:rsidRDefault="00C001BB">
      <w:pPr>
        <w:pStyle w:val="Standard"/>
        <w:spacing w:line="460" w:lineRule="exact"/>
        <w:ind w:left="1251" w:hanging="826"/>
        <w:jc w:val="both"/>
      </w:pPr>
      <w:r>
        <w:rPr>
          <w:rFonts w:eastAsia="標楷體"/>
          <w:color w:val="000000"/>
          <w:kern w:val="0"/>
          <w:sz w:val="28"/>
          <w:szCs w:val="28"/>
        </w:rPr>
        <w:t>（四）</w:t>
      </w:r>
      <w:r>
        <w:rPr>
          <w:rFonts w:ascii="標楷體" w:eastAsia="標楷體" w:hAnsi="標楷體"/>
          <w:kern w:val="0"/>
          <w:sz w:val="28"/>
          <w:szCs w:val="28"/>
        </w:rPr>
        <w:t>經費請撥、支用、核銷結案，依教育部補（捐）助及委辦經費核撥結報作業要點規定辦理。</w:t>
      </w:r>
    </w:p>
    <w:p w:rsidR="008B76E5" w:rsidRDefault="00C001BB">
      <w:pPr>
        <w:pStyle w:val="Standard"/>
        <w:spacing w:line="460" w:lineRule="exact"/>
        <w:jc w:val="both"/>
      </w:pPr>
      <w:r>
        <w:rPr>
          <w:rFonts w:eastAsia="標楷體"/>
          <w:color w:val="000000"/>
          <w:kern w:val="0"/>
          <w:sz w:val="28"/>
          <w:szCs w:val="28"/>
        </w:rPr>
        <w:t>七、</w:t>
      </w:r>
      <w:r>
        <w:rPr>
          <w:rFonts w:ascii="標楷體" w:eastAsia="標楷體" w:hAnsi="標楷體"/>
          <w:sz w:val="28"/>
          <w:szCs w:val="28"/>
        </w:rPr>
        <w:t>本要點補助之成效考核，規定如下</w:t>
      </w:r>
      <w:r>
        <w:rPr>
          <w:rFonts w:eastAsia="標楷體"/>
          <w:color w:val="000000"/>
          <w:kern w:val="0"/>
          <w:sz w:val="28"/>
          <w:szCs w:val="28"/>
        </w:rPr>
        <w:t>：</w:t>
      </w:r>
    </w:p>
    <w:p w:rsidR="008B76E5" w:rsidRDefault="00C001BB">
      <w:pPr>
        <w:pStyle w:val="Standard"/>
        <w:spacing w:line="460" w:lineRule="exact"/>
        <w:ind w:left="1273" w:hanging="848"/>
        <w:jc w:val="both"/>
      </w:pPr>
      <w:r>
        <w:rPr>
          <w:rFonts w:eastAsia="標楷體"/>
          <w:color w:val="000000"/>
          <w:kern w:val="0"/>
          <w:sz w:val="28"/>
          <w:szCs w:val="28"/>
        </w:rPr>
        <w:t>（一）</w:t>
      </w:r>
      <w:r>
        <w:rPr>
          <w:rFonts w:ascii="標楷體" w:eastAsia="標楷體" w:hAnsi="標楷體"/>
          <w:sz w:val="28"/>
          <w:szCs w:val="28"/>
        </w:rPr>
        <w:t>本署辦理年度檢討，檢視申請及辦理成效，作為下年度辦理依據。</w:t>
      </w:r>
    </w:p>
    <w:p w:rsidR="008B76E5" w:rsidRDefault="00C001BB">
      <w:pPr>
        <w:pStyle w:val="Standard"/>
        <w:widowControl/>
        <w:spacing w:after="120" w:line="520" w:lineRule="exact"/>
        <w:ind w:left="1304" w:hanging="850"/>
      </w:pPr>
      <w:r>
        <w:rPr>
          <w:rFonts w:eastAsia="標楷體"/>
          <w:color w:val="000000"/>
          <w:kern w:val="0"/>
          <w:sz w:val="28"/>
          <w:szCs w:val="28"/>
        </w:rPr>
        <w:t>（二）</w:t>
      </w:r>
      <w:r>
        <w:rPr>
          <w:rFonts w:ascii="標楷體" w:eastAsia="標楷體" w:hAnsi="標楷體"/>
          <w:sz w:val="28"/>
          <w:szCs w:val="28"/>
        </w:rPr>
        <w:t>學校辦理第三點各款項目之成效，將列為下年度審查各該項目補助之參考。</w:t>
      </w:r>
    </w:p>
    <w:bookmarkEnd w:id="1"/>
    <w:p w:rsidR="008B76E5" w:rsidRDefault="008B76E5">
      <w:pPr>
        <w:pStyle w:val="Standard"/>
      </w:pPr>
    </w:p>
    <w:sectPr w:rsidR="008B76E5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01BB">
      <w:r>
        <w:separator/>
      </w:r>
    </w:p>
  </w:endnote>
  <w:endnote w:type="continuationSeparator" w:id="0">
    <w:p w:rsidR="00000000" w:rsidRDefault="00C0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郛..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01BB">
      <w:r>
        <w:rPr>
          <w:color w:val="000000"/>
        </w:rPr>
        <w:separator/>
      </w:r>
    </w:p>
  </w:footnote>
  <w:footnote w:type="continuationSeparator" w:id="0">
    <w:p w:rsidR="00000000" w:rsidRDefault="00C0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406B"/>
    <w:multiLevelType w:val="multilevel"/>
    <w:tmpl w:val="335CB4C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76E5"/>
    <w:rsid w:val="008B76E5"/>
    <w:rsid w:val="00C0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DF3D3-4BC2-464F-8BA6-1CD0DA8C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  <w:szCs w:val="24"/>
      <w:lang w:eastAsia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新細明體" w:hAnsi="Cambria" w:cs="新細明體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/>
      <w:szCs w:val="24"/>
      <w:lang w:eastAsia="ar-SA"/>
    </w:rPr>
  </w:style>
  <w:style w:type="paragraph" w:customStyle="1" w:styleId="1">
    <w:name w:val="表格內文1"/>
    <w:pPr>
      <w:widowControl/>
      <w:textAlignment w:val="auto"/>
    </w:pPr>
    <w:rPr>
      <w:szCs w:val="22"/>
    </w:rPr>
  </w:style>
  <w:style w:type="paragraph" w:customStyle="1" w:styleId="Default">
    <w:name w:val="Default"/>
    <w:pPr>
      <w:textAlignment w:val="auto"/>
    </w:pPr>
    <w:rPr>
      <w:rFonts w:eastAsia="新細明體郛.." w:cs="新細明體郛.."/>
      <w:color w:val="000000"/>
      <w:szCs w:val="24"/>
    </w:rPr>
  </w:style>
  <w:style w:type="character" w:customStyle="1" w:styleId="a8">
    <w:name w:val="頁首 字元"/>
    <w:basedOn w:val="a0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頁尾 字元"/>
    <w:basedOn w:val="a0"/>
    <w:rPr>
      <w:rFonts w:ascii="Times New Roman" w:eastAsia="Times New Roman" w:hAnsi="Times New Roman" w:cs="Times New Roman"/>
      <w:lang w:eastAsia="ar-SA"/>
    </w:rPr>
  </w:style>
  <w:style w:type="character" w:customStyle="1" w:styleId="aa">
    <w:name w:val="註解方塊文字 字元"/>
    <w:basedOn w:val="a0"/>
    <w:rPr>
      <w:rFonts w:ascii="Cambria" w:eastAsia="新細明體" w:hAnsi="Cambria" w:cs="新細明體"/>
      <w:sz w:val="18"/>
      <w:szCs w:val="18"/>
      <w:lang w:eastAsia="ar-SA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2023-11-22T03:37:00Z</cp:lastPrinted>
  <dcterms:created xsi:type="dcterms:W3CDTF">2023-11-22T04:25:00Z</dcterms:created>
  <dcterms:modified xsi:type="dcterms:W3CDTF">2023-11-22T04:25:00Z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C.M.T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