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tLeast" w:line="440"/>
        <w:jc w:val="center"/>
        <w:rPr>
          <w:rFonts w:ascii="標楷體" w:hAnsi="標楷體" w:eastAsia="標楷體"/>
          <w:b/>
          <w:color w:val="000000"/>
          <w:sz w:val="32"/>
        </w:rPr>
      </w:pPr>
      <w:r>
        <w:rPr>
          <w:rFonts w:ascii="標楷體" w:hAnsi="標楷體" w:eastAsia="標楷體"/>
          <w:b/>
          <w:color w:val="000000"/>
          <w:sz w:val="32"/>
        </w:rPr>
        <w:t>高級中等以下學校及幼兒園教師資格考試命題作業要點</w:t>
      </w:r>
    </w:p>
    <w:p>
      <w:pPr>
        <w:pStyle w:val="Style17"/>
        <w:spacing w:lineRule="atLeast" w:line="440"/>
        <w:jc w:val="center"/>
        <w:rPr>
          <w:rFonts w:ascii="標楷體" w:hAnsi="標楷體" w:eastAsia="標楷體"/>
          <w:b/>
          <w:color w:val="000000"/>
          <w:sz w:val="32"/>
        </w:rPr>
      </w:pPr>
      <w:r>
        <w:rPr>
          <w:rFonts w:ascii="標楷體" w:hAnsi="標楷體" w:eastAsia="標楷體"/>
          <w:b/>
          <w:color w:val="000000"/>
          <w:sz w:val="32"/>
        </w:rPr>
        <w:t>修正規定</w:t>
      </w:r>
    </w:p>
    <w:p>
      <w:pPr>
        <w:pStyle w:val="Normal"/>
        <w:spacing w:lineRule="auto" w:line="288" w:before="0" w:after="140"/>
        <w:ind w:left="567" w:right="0" w:hanging="567"/>
        <w:rPr>
          <w:rFonts w:ascii="標楷體" w:hAnsi="標楷體" w:eastAsia="標楷體"/>
        </w:rPr>
      </w:pPr>
      <w:r>
        <w:rPr>
          <w:rFonts w:ascii="Times New Roman" w:hAnsi="Times New Roman" w:cs="標楷體" w:eastAsia="標楷體"/>
          <w:color w:val="000000"/>
          <w:sz w:val="28"/>
          <w:szCs w:val="28"/>
          <w:lang w:eastAsia="zh-TW"/>
        </w:rPr>
        <w:t>一、教育部</w:t>
      </w:r>
      <w:r>
        <w:rPr>
          <w:rFonts w:ascii="Times New Roman" w:hAnsi="Times New Roman" w:cs="標楷體" w:eastAsia="標楷體"/>
          <w:color w:val="000000"/>
          <w:spacing w:val="2"/>
          <w:sz w:val="28"/>
          <w:szCs w:val="28"/>
        </w:rPr>
        <w:t>為綜理高級中等以下學校及幼兒園教師資格考試之命題工作，確保命題品質，特訂定本要點。</w:t>
      </w:r>
    </w:p>
    <w:p>
      <w:pPr>
        <w:pStyle w:val="Normal"/>
        <w:spacing w:lineRule="auto" w:line="288" w:before="0" w:after="140"/>
        <w:ind w:left="567" w:right="0" w:hanging="567"/>
        <w:rPr/>
      </w:pPr>
      <w:r>
        <w:rPr>
          <w:rFonts w:ascii="Times New Roman" w:hAnsi="Times New Roman" w:cs="標楷體" w:eastAsia="標楷體"/>
          <w:color w:val="000000"/>
          <w:spacing w:val="2"/>
          <w:sz w:val="28"/>
          <w:szCs w:val="28"/>
        </w:rPr>
        <w:t>二、</w:t>
      </w:r>
      <w:r>
        <w:rPr>
          <w:rFonts w:ascii="Times New Roman" w:hAnsi="Times New Roman" w:cs="標楷體" w:eastAsia="標楷體"/>
          <w:spacing w:val="6"/>
          <w:sz w:val="28"/>
          <w:szCs w:val="28"/>
        </w:rPr>
        <w:t>資格考試分為幼兒園、特殊教育學校（班）、國民小學及中等學校四類科。</w:t>
      </w:r>
    </w:p>
    <w:p>
      <w:pPr>
        <w:pStyle w:val="Normal"/>
        <w:spacing w:lineRule="auto" w:line="288" w:before="0" w:after="140"/>
        <w:ind w:left="567" w:right="0" w:hanging="567"/>
        <w:rPr/>
      </w:pPr>
      <w:r>
        <w:rPr>
          <w:rFonts w:ascii="Times New Roman" w:hAnsi="Times New Roman" w:cs="標楷體" w:eastAsia="標楷體"/>
          <w:spacing w:val="6"/>
          <w:sz w:val="28"/>
          <w:szCs w:val="28"/>
        </w:rPr>
        <w:t>三、</w:t>
      </w:r>
      <w:r>
        <w:rPr>
          <w:rFonts w:ascii="Times New Roman" w:hAnsi="Times New Roman" w:cs="標楷體" w:eastAsia="標楷體"/>
          <w:spacing w:val="12"/>
          <w:sz w:val="28"/>
          <w:szCs w:val="28"/>
        </w:rPr>
        <w:t>各類科應試科目除國民小學類科為五科外，其餘類科為四科，包括共同科目一科至二科及教育專業科目三科，</w:t>
      </w:r>
      <w:r>
        <w:rPr>
          <w:rFonts w:ascii="標楷體" w:hAnsi="標楷體" w:cs="標楷體" w:eastAsia="標楷體"/>
          <w:spacing w:val="12"/>
          <w:sz w:val="28"/>
          <w:szCs w:val="28"/>
          <w:lang w:bidi="hi-IN"/>
        </w:rPr>
        <w:t>應試科目名稱如下</w:t>
      </w:r>
      <w:r>
        <w:rPr>
          <w:rFonts w:ascii="Times New Roman" w:hAnsi="Times New Roman" w:cs="標楷體" w:eastAsia="標楷體"/>
          <w:spacing w:val="12"/>
          <w:sz w:val="28"/>
          <w:szCs w:val="28"/>
        </w:rPr>
        <w:t>：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exact" w:line="460"/>
        <w:ind w:left="2351" w:right="5" w:hanging="0"/>
        <w:rPr>
          <w:rFonts w:ascii="Times New Roman" w:hAnsi="Times New Roman" w:eastAsia="標楷體" w:cs="標楷體"/>
          <w:sz w:val="28"/>
          <w:szCs w:val="28"/>
        </w:rPr>
      </w:pPr>
      <w:r>
        <w:rPr>
          <w:rFonts w:ascii="Times New Roman" w:hAnsi="Times New Roman" w:cs="標楷體" w:eastAsia="標楷體"/>
          <w:sz w:val="28"/>
          <w:szCs w:val="28"/>
        </w:rPr>
        <w:t>（一）幼兒園類科：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exact" w:line="460"/>
        <w:ind w:left="1843" w:right="5" w:hanging="283"/>
        <w:rPr/>
      </w:pPr>
      <w:r>
        <w:rPr>
          <w:rFonts w:ascii="Times New Roman" w:hAnsi="Times New Roman" w:cs="標楷體" w:eastAsia="標楷體"/>
          <w:sz w:val="28"/>
          <w:szCs w:val="28"/>
        </w:rPr>
        <w:t>共同科目：</w:t>
      </w:r>
      <w:r>
        <w:rPr>
          <w:rFonts w:ascii="標楷體" w:hAnsi="標楷體" w:cs="標楷體" w:eastAsia="標楷體"/>
          <w:sz w:val="28"/>
          <w:szCs w:val="28"/>
        </w:rPr>
        <w:t>「</w:t>
      </w:r>
      <w:r>
        <w:rPr>
          <w:rFonts w:ascii="Times New Roman" w:hAnsi="Times New Roman" w:cs="標楷體" w:eastAsia="標楷體"/>
          <w:sz w:val="28"/>
          <w:szCs w:val="28"/>
        </w:rPr>
        <w:t>國語文能力測驗</w:t>
      </w:r>
      <w:r>
        <w:rPr>
          <w:rFonts w:ascii="標楷體" w:hAnsi="標楷體" w:cs="標楷體" w:eastAsia="標楷體"/>
          <w:sz w:val="28"/>
          <w:szCs w:val="28"/>
        </w:rPr>
        <w:t>」一</w:t>
      </w:r>
      <w:r>
        <w:rPr>
          <w:rFonts w:ascii="Times New Roman" w:hAnsi="Times New Roman" w:cs="標楷體" w:eastAsia="標楷體"/>
          <w:spacing w:val="12"/>
          <w:sz w:val="28"/>
          <w:szCs w:val="28"/>
        </w:rPr>
        <w:t>科。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exact" w:line="460"/>
        <w:ind w:left="1843" w:right="5" w:hanging="283"/>
        <w:rPr/>
      </w:pPr>
      <w:r>
        <w:rPr>
          <w:rFonts w:ascii="Times New Roman" w:hAnsi="Times New Roman" w:cs="標楷體" w:eastAsia="標楷體"/>
          <w:sz w:val="28"/>
          <w:szCs w:val="28"/>
        </w:rPr>
        <w:t>教育專業科目：</w:t>
      </w:r>
      <w:r>
        <w:rPr>
          <w:rFonts w:ascii="Times New Roman" w:hAnsi="Times New Roman" w:cs="標楷體" w:eastAsia="標楷體"/>
          <w:spacing w:val="12"/>
          <w:sz w:val="28"/>
          <w:szCs w:val="28"/>
        </w:rPr>
        <w:t>該類科包括</w:t>
      </w:r>
      <w:r>
        <w:rPr>
          <w:rFonts w:ascii="標楷體" w:hAnsi="標楷體" w:cs="標楷體" w:eastAsia="標楷體"/>
          <w:spacing w:val="12"/>
          <w:sz w:val="28"/>
          <w:szCs w:val="28"/>
        </w:rPr>
        <w:t>「</w:t>
      </w:r>
      <w:r>
        <w:rPr>
          <w:rFonts w:ascii="Times New Roman" w:hAnsi="Times New Roman" w:cs="標楷體" w:eastAsia="標楷體"/>
          <w:sz w:val="28"/>
          <w:szCs w:val="28"/>
        </w:rPr>
        <w:t>教育理念與實務</w:t>
      </w:r>
      <w:r>
        <w:rPr>
          <w:rFonts w:ascii="標楷體" w:hAnsi="標楷體" w:cs="標楷體" w:eastAsia="標楷體"/>
          <w:sz w:val="28"/>
          <w:szCs w:val="28"/>
        </w:rPr>
        <w:t>」</w:t>
      </w:r>
      <w:r>
        <w:rPr>
          <w:rFonts w:ascii="Times New Roman" w:hAnsi="Times New Roman" w:cs="標楷體" w:eastAsia="標楷體"/>
          <w:sz w:val="28"/>
          <w:szCs w:val="28"/>
        </w:rPr>
        <w:t>、</w:t>
      </w:r>
      <w:r>
        <w:rPr>
          <w:rFonts w:ascii="標楷體" w:hAnsi="標楷體" w:cs="標楷體" w:eastAsia="標楷體"/>
          <w:sz w:val="28"/>
          <w:szCs w:val="28"/>
        </w:rPr>
        <w:t>「</w:t>
      </w:r>
      <w:r>
        <w:rPr>
          <w:rFonts w:ascii="Times New Roman" w:hAnsi="Times New Roman" w:cs="標楷體" w:eastAsia="標楷體"/>
          <w:sz w:val="28"/>
          <w:szCs w:val="28"/>
        </w:rPr>
        <w:t>學習者發展與適性輔導</w:t>
      </w:r>
      <w:r>
        <w:rPr>
          <w:rFonts w:ascii="標楷體" w:hAnsi="標楷體" w:cs="標楷體" w:eastAsia="標楷體"/>
          <w:sz w:val="28"/>
          <w:szCs w:val="28"/>
        </w:rPr>
        <w:t>」</w:t>
      </w:r>
      <w:r>
        <w:rPr>
          <w:rFonts w:ascii="Times New Roman" w:hAnsi="Times New Roman" w:cs="標楷體" w:eastAsia="標楷體"/>
          <w:sz w:val="28"/>
          <w:szCs w:val="28"/>
        </w:rPr>
        <w:t>及</w:t>
      </w:r>
      <w:r>
        <w:rPr>
          <w:rFonts w:ascii="標楷體" w:hAnsi="標楷體" w:cs="標楷體" w:eastAsia="標楷體"/>
          <w:sz w:val="28"/>
          <w:szCs w:val="28"/>
        </w:rPr>
        <w:t>「</w:t>
      </w:r>
      <w:r>
        <w:rPr>
          <w:rFonts w:ascii="Times New Roman" w:hAnsi="Times New Roman" w:cs="標楷體" w:eastAsia="標楷體"/>
          <w:sz w:val="28"/>
          <w:szCs w:val="28"/>
        </w:rPr>
        <w:t>課程教學與評量</w:t>
      </w:r>
      <w:r>
        <w:rPr>
          <w:rFonts w:ascii="標楷體" w:hAnsi="標楷體" w:cs="標楷體" w:eastAsia="標楷體"/>
          <w:sz w:val="28"/>
          <w:szCs w:val="28"/>
        </w:rPr>
        <w:t>」</w:t>
      </w:r>
      <w:r>
        <w:rPr>
          <w:rFonts w:ascii="Times New Roman" w:hAnsi="Times New Roman" w:cs="標楷體" w:eastAsia="標楷體"/>
          <w:spacing w:val="12"/>
          <w:sz w:val="28"/>
          <w:szCs w:val="28"/>
        </w:rPr>
        <w:t>三科</w:t>
      </w:r>
      <w:r>
        <w:rPr>
          <w:rFonts w:ascii="Times New Roman" w:hAnsi="Times New Roman" w:cs="標楷體" w:eastAsia="標楷體"/>
          <w:sz w:val="28"/>
          <w:szCs w:val="28"/>
        </w:rPr>
        <w:t>。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exact" w:line="460"/>
        <w:ind w:left="2351" w:right="5" w:hanging="0"/>
        <w:rPr>
          <w:rFonts w:ascii="Times New Roman" w:hAnsi="Times New Roman" w:eastAsia="標楷體" w:cs="標楷體"/>
          <w:spacing w:val="12"/>
          <w:sz w:val="28"/>
          <w:szCs w:val="28"/>
        </w:rPr>
      </w:pPr>
      <w:r>
        <w:rPr>
          <w:rFonts w:ascii="Times New Roman" w:hAnsi="Times New Roman" w:cs="標楷體" w:eastAsia="標楷體"/>
          <w:spacing w:val="12"/>
          <w:sz w:val="28"/>
          <w:szCs w:val="28"/>
        </w:rPr>
        <w:t xml:space="preserve">（二）特殊教育學校（班）類科： 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exact" w:line="460"/>
        <w:ind w:left="1843" w:right="5" w:hanging="283"/>
        <w:rPr>
          <w:rFonts w:ascii="Times New Roman" w:hAnsi="Times New Roman" w:eastAsia="標楷體" w:cs="標楷體"/>
          <w:spacing w:val="12"/>
          <w:sz w:val="28"/>
          <w:szCs w:val="28"/>
        </w:rPr>
      </w:pPr>
      <w:r>
        <w:rPr>
          <w:rFonts w:ascii="Times New Roman" w:hAnsi="Times New Roman" w:cs="標楷體" w:eastAsia="標楷體"/>
          <w:spacing w:val="12"/>
          <w:sz w:val="28"/>
          <w:szCs w:val="28"/>
        </w:rPr>
        <w:t>共同科目：「國語文能力測驗」一科。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exact" w:line="460"/>
        <w:ind w:left="1843" w:right="5" w:hanging="283"/>
        <w:rPr/>
      </w:pPr>
      <w:r>
        <w:rPr>
          <w:rFonts w:ascii="Times New Roman" w:hAnsi="Times New Roman" w:cs="標楷體" w:eastAsia="標楷體"/>
          <w:sz w:val="28"/>
          <w:szCs w:val="28"/>
        </w:rPr>
        <w:t>教育</w:t>
      </w:r>
      <w:r>
        <w:rPr>
          <w:rFonts w:ascii="Times New Roman" w:hAnsi="Times New Roman" w:cs="標楷體" w:eastAsia="標楷體"/>
          <w:spacing w:val="12"/>
          <w:sz w:val="28"/>
          <w:szCs w:val="28"/>
        </w:rPr>
        <w:t>專業</w:t>
      </w:r>
      <w:r>
        <w:rPr>
          <w:rFonts w:ascii="Times New Roman" w:hAnsi="Times New Roman" w:cs="標楷體" w:eastAsia="標楷體"/>
          <w:sz w:val="28"/>
          <w:szCs w:val="28"/>
        </w:rPr>
        <w:t>科目：</w:t>
      </w:r>
      <w:r>
        <w:rPr>
          <w:rFonts w:ascii="Times New Roman" w:hAnsi="Times New Roman" w:cs="標楷體" w:eastAsia="標楷體"/>
          <w:spacing w:val="12"/>
          <w:sz w:val="28"/>
          <w:szCs w:val="28"/>
        </w:rPr>
        <w:t>該類科包括「教育理念與實務」、「學習者發展與適性輔導」、「課程教學與評量</w:t>
      </w:r>
      <w:r>
        <w:rPr>
          <w:rFonts w:ascii="標楷體" w:hAnsi="標楷體" w:cs="標楷體" w:eastAsia="標楷體"/>
          <w:spacing w:val="12"/>
          <w:sz w:val="28"/>
          <w:szCs w:val="28"/>
        </w:rPr>
        <w:t>（</w:t>
      </w:r>
      <w:r>
        <w:rPr>
          <w:rFonts w:ascii="Times New Roman" w:hAnsi="Times New Roman" w:cs="標楷體" w:eastAsia="標楷體"/>
          <w:spacing w:val="12"/>
          <w:sz w:val="28"/>
          <w:szCs w:val="28"/>
        </w:rPr>
        <w:t>分為身心障礙組與資賦優異組</w:t>
      </w:r>
      <w:r>
        <w:rPr>
          <w:rFonts w:ascii="標楷體" w:hAnsi="標楷體" w:cs="標楷體" w:eastAsia="標楷體"/>
          <w:spacing w:val="12"/>
          <w:sz w:val="28"/>
          <w:szCs w:val="28"/>
        </w:rPr>
        <w:t>）</w:t>
      </w:r>
      <w:r>
        <w:rPr>
          <w:rFonts w:ascii="Times New Roman" w:hAnsi="Times New Roman" w:cs="標楷體" w:eastAsia="標楷體"/>
          <w:spacing w:val="12"/>
          <w:sz w:val="28"/>
          <w:szCs w:val="28"/>
        </w:rPr>
        <w:t>」三科。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exact" w:line="460"/>
        <w:ind w:left="2351" w:right="5" w:hanging="0"/>
        <w:rPr>
          <w:rFonts w:ascii="Times New Roman" w:hAnsi="Times New Roman" w:eastAsia="標楷體" w:cs="標楷體"/>
          <w:spacing w:val="12"/>
          <w:sz w:val="28"/>
          <w:szCs w:val="28"/>
        </w:rPr>
      </w:pPr>
      <w:r>
        <w:rPr>
          <w:rFonts w:ascii="Times New Roman" w:hAnsi="Times New Roman" w:cs="標楷體" w:eastAsia="標楷體"/>
          <w:spacing w:val="12"/>
          <w:sz w:val="28"/>
          <w:szCs w:val="28"/>
        </w:rPr>
        <w:t>（三）國民小學類科：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exact" w:line="460"/>
        <w:ind w:left="1843" w:right="5" w:hanging="283"/>
        <w:jc w:val="both"/>
        <w:rPr>
          <w:rFonts w:ascii="Times New Roman" w:hAnsi="Times New Roman" w:eastAsia="標楷體" w:cs="標楷體"/>
          <w:spacing w:val="12"/>
          <w:sz w:val="28"/>
          <w:szCs w:val="28"/>
        </w:rPr>
      </w:pPr>
      <w:r>
        <w:rPr>
          <w:rFonts w:ascii="Times New Roman" w:hAnsi="Times New Roman" w:cs="標楷體" w:eastAsia="標楷體"/>
          <w:spacing w:val="12"/>
          <w:sz w:val="28"/>
          <w:szCs w:val="28"/>
        </w:rPr>
        <w:t>共同科目：「國語文能力測驗」、「數學能力測驗」二科。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exact" w:line="460"/>
        <w:ind w:left="1843" w:right="5" w:hanging="283"/>
        <w:jc w:val="both"/>
        <w:rPr/>
      </w:pPr>
      <w:r>
        <w:rPr>
          <w:rFonts w:ascii="Times New Roman" w:hAnsi="Times New Roman" w:cs="標楷體" w:eastAsia="標楷體"/>
          <w:sz w:val="28"/>
          <w:szCs w:val="28"/>
        </w:rPr>
        <w:t>教育專業科目：</w:t>
      </w:r>
      <w:r>
        <w:rPr>
          <w:rFonts w:ascii="Times New Roman" w:hAnsi="Times New Roman" w:cs="標楷體" w:eastAsia="標楷體"/>
          <w:spacing w:val="12"/>
          <w:sz w:val="28"/>
          <w:szCs w:val="28"/>
        </w:rPr>
        <w:t>該類科包括「教育理念與實務」、「學習者發展與適性輔導」、「課程教學與評量」三科。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exact" w:line="460"/>
        <w:ind w:left="2351" w:right="5" w:hanging="0"/>
        <w:rPr/>
      </w:pPr>
      <w:r>
        <w:rPr>
          <w:rFonts w:ascii="Times New Roman" w:hAnsi="Times New Roman" w:cs="標楷體" w:eastAsia="標楷體"/>
          <w:spacing w:val="12"/>
          <w:sz w:val="28"/>
          <w:szCs w:val="28"/>
        </w:rPr>
        <w:t>（四）</w:t>
      </w:r>
      <w:r>
        <w:rPr>
          <w:rFonts w:ascii="Times New Roman" w:hAnsi="Times New Roman" w:cs="標楷體" w:eastAsia="標楷體"/>
          <w:sz w:val="28"/>
          <w:szCs w:val="28"/>
        </w:rPr>
        <w:t>中等</w:t>
      </w:r>
      <w:r>
        <w:rPr>
          <w:rFonts w:ascii="Times New Roman" w:hAnsi="Times New Roman" w:cs="標楷體" w:eastAsia="標楷體"/>
          <w:spacing w:val="12"/>
          <w:sz w:val="28"/>
          <w:szCs w:val="28"/>
        </w:rPr>
        <w:t>學校類科：</w:t>
      </w:r>
    </w:p>
    <w:p>
      <w:pPr>
        <w:pStyle w:val="ListParagraph"/>
        <w:widowControl/>
        <w:numPr>
          <w:ilvl w:val="0"/>
          <w:numId w:val="6"/>
        </w:numPr>
        <w:bidi w:val="0"/>
        <w:spacing w:lineRule="exact" w:line="460"/>
        <w:ind w:left="1843" w:right="5" w:hanging="283"/>
        <w:rPr>
          <w:rFonts w:ascii="Times New Roman" w:hAnsi="Times New Roman" w:eastAsia="標楷體" w:cs="標楷體"/>
          <w:spacing w:val="12"/>
          <w:sz w:val="28"/>
          <w:szCs w:val="28"/>
        </w:rPr>
      </w:pPr>
      <w:r>
        <w:rPr>
          <w:rFonts w:ascii="Times New Roman" w:hAnsi="Times New Roman" w:cs="標楷體" w:eastAsia="標楷體"/>
          <w:spacing w:val="12"/>
          <w:sz w:val="28"/>
          <w:szCs w:val="28"/>
        </w:rPr>
        <w:t>共同科目：「國語文能力測驗」一科。</w:t>
      </w:r>
    </w:p>
    <w:p>
      <w:pPr>
        <w:pStyle w:val="ListParagraph"/>
        <w:widowControl/>
        <w:numPr>
          <w:ilvl w:val="0"/>
          <w:numId w:val="6"/>
        </w:numPr>
        <w:bidi w:val="0"/>
        <w:spacing w:lineRule="exact" w:line="460"/>
        <w:ind w:left="1843" w:right="5" w:hanging="283"/>
        <w:rPr/>
      </w:pPr>
      <w:r>
        <w:rPr>
          <w:rFonts w:ascii="Times New Roman" w:hAnsi="Times New Roman" w:cs="標楷體" w:eastAsia="標楷體"/>
          <w:sz w:val="28"/>
          <w:szCs w:val="28"/>
        </w:rPr>
        <w:t>教育專業科目：</w:t>
      </w:r>
      <w:r>
        <w:rPr>
          <w:rFonts w:ascii="Times New Roman" w:hAnsi="Times New Roman" w:cs="標楷體" w:eastAsia="標楷體"/>
          <w:spacing w:val="12"/>
          <w:sz w:val="28"/>
          <w:szCs w:val="28"/>
        </w:rPr>
        <w:t>該類科包括「教育理念與實務」、「學習者發展與適性輔導」、「課程教學與評量」三科。</w:t>
      </w:r>
    </w:p>
    <w:p>
      <w:pPr>
        <w:pStyle w:val="Normal"/>
        <w:widowControl/>
        <w:bidi w:val="0"/>
        <w:spacing w:lineRule="exact" w:line="460"/>
        <w:ind w:left="590" w:right="5" w:hanging="590"/>
        <w:jc w:val="both"/>
        <w:rPr/>
      </w:pPr>
      <w:r>
        <w:rPr>
          <w:rFonts w:ascii="Times New Roman" w:hAnsi="Times New Roman" w:cs="標楷體" w:eastAsia="標楷體"/>
          <w:spacing w:val="6"/>
          <w:sz w:val="28"/>
          <w:szCs w:val="28"/>
        </w:rPr>
        <w:t>四、各科試題研發小組應依考試時間與應試科目之不同，訂定各科素養評量指標及題型，並配合課程改革、教育趨勢，將十二年國民基本教育課程綱要、教育政策及重大教育議題（包括精進學生學習成效政策、五育理念、品德教育、性別平等教育、人權教育、多元文化教育等）適時融入各科命題內涵與範圍。國語文能力測驗應同時兼顧本土作家、作品、文化等內容。</w:t>
      </w:r>
      <w:r>
        <w:rPr>
          <w:rFonts w:ascii="標楷體" w:hAnsi="標楷體" w:cs="標楷體" w:eastAsia="標楷體"/>
          <w:spacing w:val="6"/>
          <w:sz w:val="28"/>
          <w:szCs w:val="28"/>
          <w:u w:val="none"/>
          <w:lang w:bidi="hi-IN"/>
        </w:rPr>
        <w:t>題型</w:t>
      </w:r>
      <w:r>
        <w:rPr>
          <w:rFonts w:ascii="標楷體" w:hAnsi="標楷體" w:cs="標楷體" w:eastAsia="標楷體"/>
          <w:sz w:val="28"/>
          <w:szCs w:val="28"/>
          <w:u w:val="none"/>
          <w:lang w:bidi="hi-IN"/>
        </w:rPr>
        <w:t>為選擇題、非選擇題及綜合題</w:t>
      </w:r>
      <w:r>
        <w:rPr>
          <w:rFonts w:eastAsia="標楷體" w:cs="標楷體" w:ascii="標楷體" w:hAnsi="標楷體"/>
          <w:sz w:val="28"/>
          <w:szCs w:val="28"/>
          <w:u w:val="none"/>
          <w:lang w:bidi="hi-IN"/>
        </w:rPr>
        <w:t>(</w:t>
      </w:r>
      <w:r>
        <w:rPr>
          <w:rFonts w:ascii="標楷體" w:hAnsi="標楷體" w:cs="標楷體" w:eastAsia="標楷體"/>
          <w:sz w:val="28"/>
          <w:szCs w:val="28"/>
          <w:u w:val="none"/>
          <w:lang w:bidi="hi-IN"/>
        </w:rPr>
        <w:t>得包括選擇、是非、配合與問答題</w:t>
      </w:r>
      <w:r>
        <w:rPr>
          <w:rFonts w:eastAsia="標楷體" w:cs="標楷體" w:ascii="標楷體" w:hAnsi="標楷體"/>
          <w:sz w:val="28"/>
          <w:szCs w:val="28"/>
          <w:u w:val="none"/>
          <w:lang w:bidi="hi-IN"/>
        </w:rPr>
        <w:t>)</w:t>
      </w:r>
      <w:r>
        <w:rPr>
          <w:rFonts w:ascii="標楷體" w:hAnsi="標楷體" w:cs="標楷體" w:eastAsia="標楷體"/>
          <w:sz w:val="28"/>
          <w:szCs w:val="28"/>
          <w:u w:val="none"/>
          <w:lang w:bidi="hi-IN"/>
        </w:rPr>
        <w:t>，各科題型及素養評量指標</w:t>
      </w:r>
      <w:r>
        <w:rPr>
          <w:rFonts w:ascii="標楷體" w:hAnsi="標楷體" w:cs="標楷體" w:eastAsia="標楷體"/>
          <w:sz w:val="28"/>
          <w:szCs w:val="28"/>
          <w:lang w:bidi="hi-IN"/>
        </w:rPr>
        <w:t>如下</w:t>
      </w:r>
      <w:r>
        <w:rPr>
          <w:rFonts w:ascii="Times New Roman" w:hAnsi="Times New Roman" w:cs="Times New Roman" w:eastAsia="標楷體"/>
          <w:sz w:val="28"/>
          <w:szCs w:val="28"/>
        </w:rPr>
        <w:t>：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exact" w:line="460" w:before="240" w:after="0"/>
        <w:ind w:left="2351" w:right="5" w:hanging="0"/>
        <w:rPr/>
      </w:pPr>
      <w:r>
        <w:rPr>
          <w:rFonts w:ascii="Times New Roman" w:hAnsi="Times New Roman" w:cs="標楷體" w:eastAsia="標楷體"/>
          <w:sz w:val="28"/>
          <w:szCs w:val="28"/>
        </w:rPr>
        <w:t>（一）國語文能力測驗：</w:t>
      </w:r>
      <w:r>
        <w:rPr>
          <w:rFonts w:ascii="Times New Roman" w:hAnsi="Times New Roman" w:cs="Times New Roman" w:eastAsia="標楷體"/>
          <w:sz w:val="28"/>
          <w:szCs w:val="28"/>
        </w:rPr>
        <w:t xml:space="preserve"> </w:t>
      </w:r>
    </w:p>
    <w:p>
      <w:pPr>
        <w:pStyle w:val="ListParagraph"/>
        <w:widowControl/>
        <w:numPr>
          <w:ilvl w:val="0"/>
          <w:numId w:val="8"/>
        </w:numPr>
        <w:bidi w:val="0"/>
        <w:spacing w:lineRule="exact" w:line="460" w:before="120" w:after="120"/>
        <w:ind w:left="1560" w:right="6" w:hanging="284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 xml:space="preserve">題型：本考科題型分為選擇題、寫作及綜合題。 </w:t>
      </w:r>
    </w:p>
    <w:p>
      <w:pPr>
        <w:pStyle w:val="ListParagraph"/>
        <w:widowControl/>
        <w:numPr>
          <w:ilvl w:val="0"/>
          <w:numId w:val="8"/>
        </w:numPr>
        <w:bidi w:val="0"/>
        <w:spacing w:lineRule="exact" w:line="460" w:before="120" w:after="120"/>
        <w:ind w:left="1560" w:right="6" w:hanging="284"/>
        <w:rPr/>
      </w:pPr>
      <w:r>
        <w:rPr>
          <w:rFonts w:ascii="Times New Roman" w:hAnsi="Times New Roman" w:cs="Times New Roman" w:eastAsia="標楷體"/>
          <w:sz w:val="28"/>
          <w:szCs w:val="28"/>
        </w:rPr>
        <w:t>素養評量指標</w:t>
      </w:r>
      <w:r>
        <w:rPr>
          <w:rFonts w:ascii="Times New Roman" w:hAnsi="Times New Roman" w:cs="標楷體" w:eastAsia="標楷體"/>
          <w:sz w:val="28"/>
          <w:szCs w:val="28"/>
        </w:rPr>
        <w:t>：</w:t>
      </w:r>
    </w:p>
    <w:p>
      <w:pPr>
        <w:pStyle w:val="Normal"/>
        <w:widowControl/>
        <w:numPr>
          <w:ilvl w:val="0"/>
          <w:numId w:val="1"/>
        </w:numPr>
        <w:tabs>
          <w:tab w:val="left" w:pos="1985" w:leader="none"/>
          <w:tab w:val="left" w:pos="3261" w:leader="none"/>
        </w:tabs>
        <w:bidi w:val="0"/>
        <w:spacing w:lineRule="exact" w:line="460"/>
        <w:ind w:left="2534" w:right="5" w:hanging="974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語文理解：包括語文知識與閱讀理解。</w:t>
      </w:r>
    </w:p>
    <w:p>
      <w:pPr>
        <w:pStyle w:val="Normal"/>
        <w:widowControl/>
        <w:numPr>
          <w:ilvl w:val="1"/>
          <w:numId w:val="1"/>
        </w:numPr>
        <w:tabs>
          <w:tab w:val="left" w:pos="1985" w:leader="none"/>
          <w:tab w:val="left" w:pos="3261" w:leader="none"/>
        </w:tabs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語文知識：</w:t>
      </w:r>
    </w:p>
    <w:p>
      <w:pPr>
        <w:pStyle w:val="Normal"/>
        <w:widowControl/>
        <w:numPr>
          <w:ilvl w:val="2"/>
          <w:numId w:val="1"/>
        </w:numPr>
        <w:tabs>
          <w:tab w:val="left" w:pos="1985" w:leader="none"/>
          <w:tab w:val="left" w:pos="3261" w:leader="none"/>
        </w:tabs>
        <w:bidi w:val="0"/>
        <w:spacing w:lineRule="exact" w:line="460"/>
        <w:ind w:left="2694" w:right="5" w:hanging="284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字詞理解與運用分析。</w:t>
      </w:r>
    </w:p>
    <w:p>
      <w:pPr>
        <w:pStyle w:val="Normal"/>
        <w:widowControl/>
        <w:numPr>
          <w:ilvl w:val="2"/>
          <w:numId w:val="1"/>
        </w:numPr>
        <w:tabs>
          <w:tab w:val="left" w:pos="1985" w:leader="none"/>
          <w:tab w:val="left" w:pos="3261" w:leader="none"/>
        </w:tabs>
        <w:bidi w:val="0"/>
        <w:spacing w:lineRule="exact" w:line="460"/>
        <w:ind w:left="2694" w:right="5" w:hanging="284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文化常識與應用文書。</w:t>
      </w:r>
    </w:p>
    <w:p>
      <w:pPr>
        <w:pStyle w:val="Normal"/>
        <w:widowControl/>
        <w:numPr>
          <w:ilvl w:val="1"/>
          <w:numId w:val="1"/>
        </w:numPr>
        <w:tabs>
          <w:tab w:val="left" w:pos="1985" w:leader="none"/>
          <w:tab w:val="left" w:pos="3261" w:leader="none"/>
        </w:tabs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閱讀理解：</w:t>
      </w:r>
    </w:p>
    <w:p>
      <w:pPr>
        <w:pStyle w:val="Normal"/>
        <w:widowControl/>
        <w:numPr>
          <w:ilvl w:val="2"/>
          <w:numId w:val="1"/>
        </w:numPr>
        <w:tabs>
          <w:tab w:val="left" w:pos="1985" w:leader="none"/>
          <w:tab w:val="left" w:pos="3261" w:leader="none"/>
        </w:tabs>
        <w:bidi w:val="0"/>
        <w:spacing w:lineRule="exact" w:line="460"/>
        <w:ind w:left="2694" w:right="5" w:hanging="284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內容意旨。</w:t>
      </w:r>
    </w:p>
    <w:p>
      <w:pPr>
        <w:pStyle w:val="Normal"/>
        <w:widowControl/>
        <w:numPr>
          <w:ilvl w:val="2"/>
          <w:numId w:val="1"/>
        </w:numPr>
        <w:tabs>
          <w:tab w:val="left" w:pos="1985" w:leader="none"/>
          <w:tab w:val="left" w:pos="3261" w:leader="none"/>
        </w:tabs>
        <w:bidi w:val="0"/>
        <w:spacing w:lineRule="exact" w:line="460"/>
        <w:ind w:left="2694" w:right="5" w:hanging="284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篇章結構與風格欣賞。</w:t>
      </w:r>
    </w:p>
    <w:p>
      <w:pPr>
        <w:pStyle w:val="Normal"/>
        <w:widowControl/>
        <w:numPr>
          <w:ilvl w:val="0"/>
          <w:numId w:val="1"/>
        </w:numPr>
        <w:tabs>
          <w:tab w:val="left" w:pos="2040" w:leader="none"/>
        </w:tabs>
        <w:bidi w:val="0"/>
        <w:spacing w:lineRule="exact" w:line="460"/>
        <w:ind w:left="2041" w:right="0" w:hanging="454"/>
        <w:jc w:val="both"/>
        <w:rPr/>
      </w:pPr>
      <w:r>
        <w:rPr>
          <w:rFonts w:ascii="Times New Roman" w:hAnsi="Times New Roman" w:cs="Times New Roman" w:eastAsia="標楷體"/>
          <w:sz w:val="28"/>
          <w:szCs w:val="28"/>
        </w:rPr>
        <w:t>溝通表達：</w:t>
      </w:r>
      <w:r>
        <w:rPr>
          <w:rFonts w:ascii="標楷體" w:hAnsi="標楷體" w:cs="標楷體" w:eastAsia="標楷體"/>
          <w:color w:val="000000"/>
          <w:sz w:val="28"/>
          <w:szCs w:val="28"/>
          <w:u w:val="none"/>
          <w:lang w:bidi="hi-IN"/>
        </w:rPr>
        <w:t>能以通順語句、適當結構，抒發主觀經驗並整合客觀資訊，以達成有效溝通。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exact" w:line="460" w:before="240" w:after="0"/>
        <w:ind w:left="2351" w:right="5" w:hanging="0"/>
        <w:rPr/>
      </w:pPr>
      <w:r>
        <w:rPr>
          <w:rFonts w:ascii="Times New Roman" w:hAnsi="Times New Roman" w:cs="標楷體" w:eastAsia="標楷體"/>
          <w:spacing w:val="12"/>
          <w:sz w:val="28"/>
          <w:szCs w:val="28"/>
        </w:rPr>
        <w:t>（二）</w:t>
      </w:r>
      <w:r>
        <w:rPr>
          <w:rFonts w:ascii="Times New Roman" w:hAnsi="Times New Roman" w:cs="Times New Roman" w:eastAsia="標楷體"/>
          <w:sz w:val="28"/>
          <w:szCs w:val="28"/>
        </w:rPr>
        <w:t>數學</w:t>
      </w:r>
      <w:r>
        <w:rPr>
          <w:rFonts w:ascii="Times New Roman" w:hAnsi="Times New Roman" w:cs="標楷體" w:eastAsia="標楷體"/>
          <w:sz w:val="28"/>
          <w:szCs w:val="28"/>
        </w:rPr>
        <w:t>能力</w:t>
      </w:r>
      <w:r>
        <w:rPr>
          <w:rFonts w:ascii="Times New Roman" w:hAnsi="Times New Roman" w:cs="Times New Roman" w:eastAsia="標楷體"/>
          <w:sz w:val="28"/>
          <w:szCs w:val="28"/>
        </w:rPr>
        <w:t>測驗：</w:t>
      </w:r>
    </w:p>
    <w:p>
      <w:pPr>
        <w:pStyle w:val="ListParagraph"/>
        <w:widowControl/>
        <w:numPr>
          <w:ilvl w:val="0"/>
          <w:numId w:val="9"/>
        </w:numPr>
        <w:bidi w:val="0"/>
        <w:spacing w:lineRule="exact" w:line="460" w:before="120" w:after="120"/>
        <w:ind w:left="1701" w:right="6" w:hanging="283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題型：本考科題型分為選擇題、計算或證明題、問答題及綜合題。</w:t>
      </w:r>
    </w:p>
    <w:p>
      <w:pPr>
        <w:pStyle w:val="ListParagraph"/>
        <w:widowControl/>
        <w:numPr>
          <w:ilvl w:val="0"/>
          <w:numId w:val="9"/>
        </w:numPr>
        <w:bidi w:val="0"/>
        <w:spacing w:lineRule="exact" w:line="460" w:before="120" w:after="120"/>
        <w:ind w:left="1701" w:right="6" w:hanging="283"/>
        <w:rPr/>
      </w:pPr>
      <w:r>
        <w:rPr>
          <w:rFonts w:ascii="Times New Roman" w:hAnsi="Times New Roman" w:cs="Times New Roman" w:eastAsia="標楷體"/>
          <w:sz w:val="28"/>
          <w:szCs w:val="28"/>
        </w:rPr>
        <w:t>素養評量指標</w:t>
      </w:r>
      <w:r>
        <w:rPr>
          <w:rFonts w:ascii="Times New Roman" w:hAnsi="Times New Roman" w:cs="標楷體" w:eastAsia="標楷體"/>
          <w:sz w:val="28"/>
          <w:szCs w:val="28"/>
        </w:rPr>
        <w:t>：</w:t>
      </w:r>
    </w:p>
    <w:p>
      <w:pPr>
        <w:pStyle w:val="ListParagraph"/>
        <w:widowControl/>
        <w:numPr>
          <w:ilvl w:val="0"/>
          <w:numId w:val="10"/>
        </w:numPr>
        <w:bidi w:val="0"/>
        <w:spacing w:lineRule="exact" w:line="460"/>
        <w:ind w:left="2127" w:right="5" w:hanging="426"/>
        <w:rPr>
          <w:rFonts w:ascii="Times New Roman" w:hAnsi="Times New Roman" w:eastAsia="標楷體" w:cs="標楷體"/>
          <w:sz w:val="28"/>
          <w:szCs w:val="28"/>
        </w:rPr>
      </w:pPr>
      <w:r>
        <w:rPr>
          <w:rFonts w:ascii="Times New Roman" w:hAnsi="Times New Roman" w:cs="標楷體" w:eastAsia="標楷體"/>
          <w:sz w:val="28"/>
          <w:szCs w:val="28"/>
        </w:rPr>
        <w:t>普通數學：</w:t>
      </w:r>
    </w:p>
    <w:p>
      <w:pPr>
        <w:pStyle w:val="ListParagraph"/>
        <w:widowControl/>
        <w:numPr>
          <w:ilvl w:val="0"/>
          <w:numId w:val="11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標楷體"/>
          <w:sz w:val="28"/>
          <w:szCs w:val="28"/>
        </w:rPr>
      </w:pPr>
      <w:r>
        <w:rPr>
          <w:rFonts w:ascii="Times New Roman" w:hAnsi="Times New Roman" w:cs="標楷體" w:eastAsia="標楷體"/>
          <w:sz w:val="28"/>
          <w:szCs w:val="28"/>
        </w:rPr>
        <w:t>理解數學概念之意義及概念間連結。</w:t>
      </w:r>
    </w:p>
    <w:p>
      <w:pPr>
        <w:pStyle w:val="ListParagraph"/>
        <w:widowControl/>
        <w:numPr>
          <w:ilvl w:val="0"/>
          <w:numId w:val="11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標楷體"/>
          <w:sz w:val="28"/>
          <w:szCs w:val="28"/>
        </w:rPr>
      </w:pPr>
      <w:r>
        <w:rPr>
          <w:rFonts w:ascii="Times New Roman" w:hAnsi="Times New Roman" w:cs="標楷體" w:eastAsia="標楷體"/>
          <w:sz w:val="28"/>
          <w:szCs w:val="28"/>
        </w:rPr>
        <w:t>運用合理方法與步驟執行數學程序。</w:t>
      </w:r>
    </w:p>
    <w:p>
      <w:pPr>
        <w:pStyle w:val="ListParagraph"/>
        <w:widowControl/>
        <w:numPr>
          <w:ilvl w:val="0"/>
          <w:numId w:val="11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標楷體"/>
          <w:sz w:val="28"/>
          <w:szCs w:val="28"/>
        </w:rPr>
      </w:pPr>
      <w:r>
        <w:rPr>
          <w:rFonts w:ascii="Times New Roman" w:hAnsi="Times New Roman" w:cs="標楷體" w:eastAsia="標楷體"/>
          <w:sz w:val="28"/>
          <w:szCs w:val="28"/>
        </w:rPr>
        <w:t>應用數學知識來解決數學或生活中問題。</w:t>
      </w:r>
    </w:p>
    <w:p>
      <w:pPr>
        <w:pStyle w:val="ListParagraph"/>
        <w:widowControl/>
        <w:numPr>
          <w:ilvl w:val="0"/>
          <w:numId w:val="10"/>
        </w:numPr>
        <w:bidi w:val="0"/>
        <w:spacing w:lineRule="exact" w:line="460"/>
        <w:ind w:left="2127" w:right="5" w:hanging="426"/>
        <w:rPr>
          <w:rFonts w:ascii="Times New Roman" w:hAnsi="Times New Roman" w:eastAsia="標楷體" w:cs="標楷體"/>
          <w:sz w:val="28"/>
          <w:szCs w:val="28"/>
        </w:rPr>
      </w:pPr>
      <w:r>
        <w:rPr>
          <w:rFonts w:ascii="Times New Roman" w:hAnsi="Times New Roman" w:cs="標楷體" w:eastAsia="標楷體"/>
          <w:sz w:val="28"/>
          <w:szCs w:val="28"/>
        </w:rPr>
        <w:t>數學教材教法：</w:t>
      </w:r>
    </w:p>
    <w:p>
      <w:pPr>
        <w:pStyle w:val="ListParagraph"/>
        <w:widowControl/>
        <w:numPr>
          <w:ilvl w:val="0"/>
          <w:numId w:val="12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標楷體"/>
          <w:sz w:val="28"/>
          <w:szCs w:val="28"/>
        </w:rPr>
      </w:pPr>
      <w:r>
        <w:rPr>
          <w:rFonts w:ascii="Times New Roman" w:hAnsi="Times New Roman" w:cs="標楷體" w:eastAsia="標楷體"/>
          <w:sz w:val="28"/>
          <w:szCs w:val="28"/>
        </w:rPr>
        <w:t>理解國民小學數學課程內容及教材脈絡，並應用於數學教學。</w:t>
      </w:r>
    </w:p>
    <w:p>
      <w:pPr>
        <w:pStyle w:val="ListParagraph"/>
        <w:widowControl/>
        <w:numPr>
          <w:ilvl w:val="0"/>
          <w:numId w:val="12"/>
        </w:numPr>
        <w:bidi w:val="0"/>
        <w:spacing w:lineRule="exact" w:line="460"/>
        <w:ind w:left="2410" w:right="5" w:hanging="283"/>
        <w:jc w:val="both"/>
        <w:rPr/>
      </w:pPr>
      <w:r>
        <w:rPr>
          <w:rFonts w:ascii="Times New Roman" w:hAnsi="Times New Roman" w:cs="Times New Roman" w:eastAsia="標楷體"/>
          <w:sz w:val="28"/>
          <w:szCs w:val="28"/>
        </w:rPr>
        <w:t>理解國民小學學童數學概念之發展與迷思，並應用於數學教學</w:t>
      </w:r>
      <w:r>
        <w:rPr>
          <w:rFonts w:ascii="Times New Roman" w:hAnsi="Times New Roman" w:cs="標楷體" w:eastAsia="標楷體"/>
          <w:sz w:val="28"/>
          <w:szCs w:val="28"/>
        </w:rPr>
        <w:t>。</w:t>
      </w:r>
    </w:p>
    <w:p>
      <w:pPr>
        <w:pStyle w:val="ListParagraph"/>
        <w:widowControl/>
        <w:numPr>
          <w:ilvl w:val="0"/>
          <w:numId w:val="12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標楷體"/>
          <w:sz w:val="28"/>
          <w:szCs w:val="28"/>
        </w:rPr>
      </w:pPr>
      <w:r>
        <w:rPr>
          <w:rFonts w:ascii="Times New Roman" w:hAnsi="Times New Roman" w:cs="標楷體" w:eastAsia="標楷體"/>
          <w:sz w:val="28"/>
          <w:szCs w:val="28"/>
        </w:rPr>
        <w:t>理解國民小學數學教學策略與多元評量方法，並應用於數學教學。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exact" w:line="460" w:before="240" w:after="0"/>
        <w:ind w:left="2351" w:right="5" w:hanging="0"/>
        <w:rPr/>
      </w:pPr>
      <w:r>
        <w:rPr>
          <w:rFonts w:ascii="Times New Roman" w:hAnsi="Times New Roman" w:cs="標楷體" w:eastAsia="標楷體"/>
          <w:spacing w:val="12"/>
          <w:sz w:val="28"/>
          <w:szCs w:val="28"/>
        </w:rPr>
        <w:t>（三）</w:t>
      </w:r>
      <w:r>
        <w:rPr>
          <w:rFonts w:ascii="Times New Roman" w:hAnsi="Times New Roman" w:cs="Times New Roman" w:eastAsia="標楷體"/>
          <w:sz w:val="28"/>
          <w:szCs w:val="28"/>
        </w:rPr>
        <w:t>教育理念與實務：</w:t>
      </w:r>
    </w:p>
    <w:p>
      <w:pPr>
        <w:pStyle w:val="ListParagraph"/>
        <w:widowControl/>
        <w:numPr>
          <w:ilvl w:val="0"/>
          <w:numId w:val="13"/>
        </w:numPr>
        <w:bidi w:val="0"/>
        <w:spacing w:lineRule="exact" w:line="460" w:before="120" w:after="120"/>
        <w:ind w:left="1701" w:right="6" w:hanging="283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題型：本考科題型分為選擇題、問答題及綜合題。</w:t>
      </w:r>
    </w:p>
    <w:p>
      <w:pPr>
        <w:pStyle w:val="ListParagraph"/>
        <w:widowControl/>
        <w:numPr>
          <w:ilvl w:val="0"/>
          <w:numId w:val="13"/>
        </w:numPr>
        <w:bidi w:val="0"/>
        <w:spacing w:lineRule="exact" w:line="460" w:before="120" w:after="120"/>
        <w:ind w:left="1701" w:right="6" w:hanging="283"/>
        <w:rPr/>
      </w:pPr>
      <w:r>
        <w:rPr>
          <w:rFonts w:ascii="Times New Roman" w:hAnsi="Times New Roman" w:cs="Times New Roman" w:eastAsia="標楷體"/>
          <w:sz w:val="28"/>
          <w:szCs w:val="28"/>
        </w:rPr>
        <w:t>素養評量指標</w:t>
      </w:r>
      <w:r>
        <w:rPr>
          <w:rFonts w:ascii="Times New Roman" w:hAnsi="Times New Roman" w:cs="標楷體" w:eastAsia="標楷體"/>
          <w:sz w:val="28"/>
          <w:szCs w:val="28"/>
        </w:rPr>
        <w:t>：</w:t>
      </w:r>
    </w:p>
    <w:p>
      <w:pPr>
        <w:pStyle w:val="ListParagraph"/>
        <w:widowControl/>
        <w:numPr>
          <w:ilvl w:val="0"/>
          <w:numId w:val="16"/>
        </w:numPr>
        <w:bidi w:val="0"/>
        <w:spacing w:lineRule="exact" w:line="460" w:before="120" w:after="120"/>
        <w:ind w:left="2127" w:right="6" w:hanging="426"/>
        <w:jc w:val="both"/>
        <w:rPr>
          <w:rFonts w:ascii="Times New Roman" w:hAnsi="Times New Roman" w:eastAsia="標楷體" w:cs="標楷體"/>
          <w:sz w:val="28"/>
          <w:szCs w:val="28"/>
        </w:rPr>
      </w:pPr>
      <w:r>
        <w:rPr>
          <w:rFonts w:ascii="Times New Roman" w:hAnsi="Times New Roman" w:cs="標楷體" w:eastAsia="標楷體"/>
          <w:sz w:val="28"/>
          <w:szCs w:val="28"/>
        </w:rPr>
        <w:t>幼兒園類科：</w:t>
      </w:r>
    </w:p>
    <w:p>
      <w:pPr>
        <w:pStyle w:val="ListParagraph"/>
        <w:widowControl/>
        <w:numPr>
          <w:ilvl w:val="0"/>
          <w:numId w:val="14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了解主要教育思潮與理論之意義、規準、本質、目的及功能，並應用於各級學校教育。</w:t>
      </w:r>
    </w:p>
    <w:p>
      <w:pPr>
        <w:pStyle w:val="ListParagraph"/>
        <w:widowControl/>
        <w:numPr>
          <w:ilvl w:val="0"/>
          <w:numId w:val="14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了解社會結構、教育機會均等、多元文化教育，並應用於幼兒教保服務。</w:t>
      </w:r>
    </w:p>
    <w:p>
      <w:pPr>
        <w:pStyle w:val="ListParagraph"/>
        <w:widowControl/>
        <w:numPr>
          <w:ilvl w:val="0"/>
          <w:numId w:val="14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了解我國幼兒教育政策、幼兒教育法規及幼兒園教育實務，並應用於幼兒園教育場域。</w:t>
      </w:r>
    </w:p>
    <w:p>
      <w:pPr>
        <w:pStyle w:val="ListParagraph"/>
        <w:widowControl/>
        <w:numPr>
          <w:ilvl w:val="0"/>
          <w:numId w:val="14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了解教師專業倫理與實踐之內涵，並應用於幼兒園教保教育場域。</w:t>
      </w:r>
    </w:p>
    <w:p>
      <w:pPr>
        <w:pStyle w:val="ListParagraph"/>
        <w:widowControl/>
        <w:numPr>
          <w:ilvl w:val="0"/>
          <w:numId w:val="16"/>
        </w:numPr>
        <w:bidi w:val="0"/>
        <w:spacing w:lineRule="exact" w:line="460" w:before="120" w:after="120"/>
        <w:ind w:left="2127" w:right="6" w:hanging="426"/>
        <w:jc w:val="both"/>
        <w:rPr/>
      </w:pPr>
      <w:r>
        <w:rPr>
          <w:rFonts w:ascii="Times New Roman" w:hAnsi="Times New Roman" w:cs="標楷體" w:eastAsia="標楷體"/>
          <w:sz w:val="28"/>
          <w:szCs w:val="28"/>
        </w:rPr>
        <w:t>特殊教育學校（班）</w:t>
      </w:r>
      <w:r>
        <w:rPr>
          <w:rFonts w:ascii="Times New Roman" w:hAnsi="Times New Roman" w:cs="Times New Roman" w:eastAsia="標楷體"/>
          <w:sz w:val="28"/>
          <w:szCs w:val="28"/>
        </w:rPr>
        <w:t>類科：</w:t>
      </w:r>
    </w:p>
    <w:p>
      <w:pPr>
        <w:pStyle w:val="ListParagraph"/>
        <w:widowControl/>
        <w:numPr>
          <w:ilvl w:val="0"/>
          <w:numId w:val="17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了解主要教育思潮與理論之意義、規準、本質、目的及功能，並應用於各級學校教育。</w:t>
      </w:r>
    </w:p>
    <w:p>
      <w:pPr>
        <w:pStyle w:val="ListParagraph"/>
        <w:widowControl/>
        <w:numPr>
          <w:ilvl w:val="0"/>
          <w:numId w:val="17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了解教育內外在社會環境與社會脈絡，包括巨觀、微觀二層面，如教育與社會公平、社會變遷、社會關係等，並應用於一般學校與特殊教育學校</w:t>
      </w:r>
      <w:r>
        <w:rPr>
          <w:rFonts w:ascii="Times New Roman" w:hAnsi="Times New Roman" w:cs="標楷體" w:eastAsia="標楷體"/>
          <w:sz w:val="28"/>
          <w:szCs w:val="28"/>
        </w:rPr>
        <w:t>（班）</w:t>
      </w:r>
      <w:r>
        <w:rPr>
          <w:rFonts w:ascii="Times New Roman" w:hAnsi="Times New Roman" w:cs="Times New Roman" w:eastAsia="標楷體"/>
          <w:sz w:val="28"/>
          <w:szCs w:val="28"/>
        </w:rPr>
        <w:t>。</w:t>
      </w:r>
    </w:p>
    <w:p>
      <w:pPr>
        <w:pStyle w:val="ListParagraph"/>
        <w:widowControl/>
        <w:numPr>
          <w:ilvl w:val="0"/>
          <w:numId w:val="17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了解我國主要教育行政與教育制度、特殊教育法規與政策、學校實務及教育改革趨勢、特殊教育相關支持服務與支援系統，並應用於一般學校與特殊教育學校</w:t>
      </w:r>
      <w:r>
        <w:rPr>
          <w:rFonts w:ascii="Times New Roman" w:hAnsi="Times New Roman" w:cs="標楷體" w:eastAsia="標楷體"/>
          <w:sz w:val="28"/>
          <w:szCs w:val="28"/>
        </w:rPr>
        <w:t>（班）</w:t>
      </w:r>
      <w:r>
        <w:rPr>
          <w:rFonts w:ascii="Times New Roman" w:hAnsi="Times New Roman" w:cs="Times New Roman" w:eastAsia="標楷體"/>
          <w:sz w:val="28"/>
          <w:szCs w:val="28"/>
        </w:rPr>
        <w:t>之教育情境。</w:t>
      </w:r>
    </w:p>
    <w:p>
      <w:pPr>
        <w:pStyle w:val="ListParagraph"/>
        <w:widowControl/>
        <w:numPr>
          <w:ilvl w:val="0"/>
          <w:numId w:val="17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了解教師專業倫理與實踐之內涵，並應用於一般學校與特殊教育學校</w:t>
      </w:r>
      <w:r>
        <w:rPr>
          <w:rFonts w:ascii="Times New Roman" w:hAnsi="Times New Roman" w:cs="標楷體" w:eastAsia="標楷體"/>
          <w:sz w:val="28"/>
          <w:szCs w:val="28"/>
        </w:rPr>
        <w:t>（班）</w:t>
      </w:r>
      <w:r>
        <w:rPr>
          <w:rFonts w:ascii="Times New Roman" w:hAnsi="Times New Roman" w:cs="Times New Roman" w:eastAsia="標楷體"/>
          <w:sz w:val="28"/>
          <w:szCs w:val="28"/>
        </w:rPr>
        <w:t>。</w:t>
      </w:r>
    </w:p>
    <w:p>
      <w:pPr>
        <w:pStyle w:val="ListParagraph"/>
        <w:widowControl/>
        <w:numPr>
          <w:ilvl w:val="0"/>
          <w:numId w:val="16"/>
        </w:numPr>
        <w:bidi w:val="0"/>
        <w:spacing w:lineRule="exact" w:line="460" w:before="120" w:after="120"/>
        <w:ind w:left="2127" w:right="6" w:hanging="426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國民小學類科：</w:t>
      </w:r>
    </w:p>
    <w:p>
      <w:pPr>
        <w:pStyle w:val="ListParagraph"/>
        <w:widowControl/>
        <w:numPr>
          <w:ilvl w:val="0"/>
          <w:numId w:val="18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了解主要教育思潮與理論之意義、規準、本質、目的及功能，並應用於各級學校教育。</w:t>
      </w:r>
    </w:p>
    <w:p>
      <w:pPr>
        <w:pStyle w:val="ListParagraph"/>
        <w:widowControl/>
        <w:numPr>
          <w:ilvl w:val="0"/>
          <w:numId w:val="18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了解並應用教育內外在社會環境與社會脈絡，包括巨觀、微觀二層面，如教育與社會公平、社會變遷、社會關係等。</w:t>
      </w:r>
    </w:p>
    <w:p>
      <w:pPr>
        <w:pStyle w:val="ListParagraph"/>
        <w:widowControl/>
        <w:numPr>
          <w:ilvl w:val="0"/>
          <w:numId w:val="18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了解我國主要教育行政與教育制度、教育法規與教育政策、學校實務及教育改革趨勢，並應用於國民小學教育情境。</w:t>
      </w:r>
    </w:p>
    <w:p>
      <w:pPr>
        <w:pStyle w:val="ListParagraph"/>
        <w:widowControl/>
        <w:numPr>
          <w:ilvl w:val="0"/>
          <w:numId w:val="18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了解教師專業倫理與實踐之內涵，並應用於國民小學。</w:t>
      </w:r>
    </w:p>
    <w:p>
      <w:pPr>
        <w:pStyle w:val="ListParagraph"/>
        <w:widowControl/>
        <w:numPr>
          <w:ilvl w:val="0"/>
          <w:numId w:val="16"/>
        </w:numPr>
        <w:bidi w:val="0"/>
        <w:spacing w:lineRule="exact" w:line="460" w:before="120" w:after="120"/>
        <w:ind w:left="2127" w:right="6" w:hanging="426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中等學校類科：</w:t>
      </w:r>
    </w:p>
    <w:p>
      <w:pPr>
        <w:pStyle w:val="ListParagraph"/>
        <w:widowControl/>
        <w:numPr>
          <w:ilvl w:val="0"/>
          <w:numId w:val="19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了解主要教育思潮與理論之意義、規準、本質、目的及功能，並應用於各級學校教育。</w:t>
      </w:r>
    </w:p>
    <w:p>
      <w:pPr>
        <w:pStyle w:val="ListParagraph"/>
        <w:widowControl/>
        <w:numPr>
          <w:ilvl w:val="0"/>
          <w:numId w:val="19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了解並應用教育內外在社會環境與社會脈絡，包括巨觀、微觀二層面，如教育與社會公平、社會變遷、社會關係等。</w:t>
      </w:r>
    </w:p>
    <w:p>
      <w:pPr>
        <w:pStyle w:val="ListParagraph"/>
        <w:widowControl/>
        <w:numPr>
          <w:ilvl w:val="0"/>
          <w:numId w:val="19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了解我國主要教育行政與教育制度、教育法規與教育政策、學校實務及教育改革趨勢，並應用於中等學校教育情境。</w:t>
      </w:r>
    </w:p>
    <w:p>
      <w:pPr>
        <w:pStyle w:val="ListParagraph"/>
        <w:widowControl/>
        <w:numPr>
          <w:ilvl w:val="0"/>
          <w:numId w:val="19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了解教師專業倫理與實踐之內涵，並應用於中等學校。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exact" w:line="460" w:before="240" w:after="0"/>
        <w:ind w:left="2351" w:right="5" w:hanging="0"/>
        <w:rPr/>
      </w:pPr>
      <w:r>
        <w:rPr>
          <w:rFonts w:ascii="Times New Roman" w:hAnsi="Times New Roman" w:cs="標楷體" w:eastAsia="標楷體"/>
          <w:spacing w:val="12"/>
          <w:sz w:val="28"/>
          <w:szCs w:val="28"/>
        </w:rPr>
        <w:t>（四）</w:t>
      </w:r>
      <w:r>
        <w:rPr>
          <w:rFonts w:ascii="Times New Roman" w:hAnsi="Times New Roman" w:cs="Times New Roman" w:eastAsia="標楷體"/>
          <w:sz w:val="28"/>
          <w:szCs w:val="28"/>
        </w:rPr>
        <w:t>學習者發展與適性輔導：</w:t>
      </w:r>
    </w:p>
    <w:p>
      <w:pPr>
        <w:pStyle w:val="ListParagraph"/>
        <w:widowControl/>
        <w:numPr>
          <w:ilvl w:val="0"/>
          <w:numId w:val="15"/>
        </w:numPr>
        <w:bidi w:val="0"/>
        <w:spacing w:lineRule="exact" w:line="460"/>
        <w:ind w:left="1701" w:right="5" w:hanging="283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題型：本考科題型分為選擇題、問答題及綜合題。</w:t>
      </w:r>
    </w:p>
    <w:p>
      <w:pPr>
        <w:pStyle w:val="ListParagraph"/>
        <w:widowControl/>
        <w:numPr>
          <w:ilvl w:val="0"/>
          <w:numId w:val="15"/>
        </w:numPr>
        <w:bidi w:val="0"/>
        <w:spacing w:lineRule="exact" w:line="460"/>
        <w:ind w:left="1701" w:right="5" w:hanging="283"/>
        <w:rPr/>
      </w:pPr>
      <w:r>
        <w:rPr>
          <w:rFonts w:ascii="Times New Roman" w:hAnsi="Times New Roman" w:cs="Times New Roman" w:eastAsia="標楷體"/>
          <w:sz w:val="28"/>
          <w:szCs w:val="28"/>
        </w:rPr>
        <w:t>素養評量指標</w:t>
      </w:r>
      <w:r>
        <w:rPr>
          <w:rFonts w:ascii="Times New Roman" w:hAnsi="Times New Roman" w:cs="標楷體" w:eastAsia="標楷體"/>
          <w:sz w:val="28"/>
          <w:szCs w:val="28"/>
        </w:rPr>
        <w:t>：</w:t>
      </w:r>
    </w:p>
    <w:p>
      <w:pPr>
        <w:pStyle w:val="ListParagraph"/>
        <w:widowControl/>
        <w:numPr>
          <w:ilvl w:val="0"/>
          <w:numId w:val="20"/>
        </w:numPr>
        <w:bidi w:val="0"/>
        <w:spacing w:lineRule="exact" w:line="460" w:before="120" w:after="120"/>
        <w:ind w:left="2127" w:right="6" w:hanging="426"/>
        <w:jc w:val="both"/>
        <w:rPr>
          <w:rFonts w:ascii="Times New Roman" w:hAnsi="Times New Roman" w:eastAsia="標楷體" w:cs="標楷體"/>
          <w:sz w:val="28"/>
          <w:szCs w:val="28"/>
        </w:rPr>
      </w:pPr>
      <w:r>
        <w:rPr>
          <w:rFonts w:ascii="Times New Roman" w:hAnsi="Times New Roman" w:cs="標楷體" w:eastAsia="標楷體"/>
          <w:sz w:val="28"/>
          <w:szCs w:val="28"/>
        </w:rPr>
        <w:t>幼兒園類科：</w:t>
      </w:r>
    </w:p>
    <w:p>
      <w:pPr>
        <w:pStyle w:val="ListParagraph"/>
        <w:widowControl/>
        <w:numPr>
          <w:ilvl w:val="0"/>
          <w:numId w:val="21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了解幼兒發展理論、不同社經及文化背景之發展差異，並應用於教學與輔導。</w:t>
      </w:r>
    </w:p>
    <w:p>
      <w:pPr>
        <w:pStyle w:val="ListParagraph"/>
        <w:widowControl/>
        <w:numPr>
          <w:ilvl w:val="0"/>
          <w:numId w:val="21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了解幼兒健康促進、安全與保護，常見健康問題之知識及應用適當照護方法。</w:t>
      </w:r>
    </w:p>
    <w:p>
      <w:pPr>
        <w:pStyle w:val="ListParagraph"/>
        <w:widowControl/>
        <w:numPr>
          <w:ilvl w:val="0"/>
          <w:numId w:val="21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了解幼兒年齡、能力、興趣之個別差異，並應用適當學習原理及遊戲相關理論於幼兒之適性發展。</w:t>
      </w:r>
    </w:p>
    <w:p>
      <w:pPr>
        <w:pStyle w:val="ListParagraph"/>
        <w:widowControl/>
        <w:numPr>
          <w:ilvl w:val="0"/>
          <w:numId w:val="21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了解特殊需求幼兒之身心特質及鑑定歷程，並提供適切支持。</w:t>
      </w:r>
    </w:p>
    <w:p>
      <w:pPr>
        <w:pStyle w:val="ListParagraph"/>
        <w:widowControl/>
        <w:numPr>
          <w:ilvl w:val="0"/>
          <w:numId w:val="21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了解並應用師生互動、班級文化及正向支持之原理與方法。</w:t>
      </w:r>
    </w:p>
    <w:p>
      <w:pPr>
        <w:pStyle w:val="ListParagraph"/>
        <w:widowControl/>
        <w:numPr>
          <w:ilvl w:val="0"/>
          <w:numId w:val="21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了解輔導原理與技巧，並應用親職教育、家園合作及社區協力於幼兒之適性發展。</w:t>
      </w:r>
    </w:p>
    <w:p>
      <w:pPr>
        <w:pStyle w:val="ListParagraph"/>
        <w:widowControl/>
        <w:numPr>
          <w:ilvl w:val="0"/>
          <w:numId w:val="20"/>
        </w:numPr>
        <w:bidi w:val="0"/>
        <w:spacing w:lineRule="exact" w:line="460" w:before="120" w:after="120"/>
        <w:ind w:left="2127" w:right="6" w:hanging="426"/>
        <w:jc w:val="both"/>
        <w:rPr/>
      </w:pPr>
      <w:r>
        <w:rPr>
          <w:rFonts w:ascii="Times New Roman" w:hAnsi="Times New Roman" w:cs="Times New Roman" w:eastAsia="標楷體"/>
          <w:sz w:val="28"/>
          <w:szCs w:val="28"/>
        </w:rPr>
        <w:t>特殊教育</w:t>
      </w:r>
      <w:r>
        <w:rPr>
          <w:rFonts w:ascii="Times New Roman" w:hAnsi="Times New Roman" w:cs="標楷體" w:eastAsia="標楷體"/>
          <w:sz w:val="28"/>
          <w:szCs w:val="28"/>
        </w:rPr>
        <w:t>學校（班）</w:t>
      </w:r>
      <w:r>
        <w:rPr>
          <w:rFonts w:ascii="Times New Roman" w:hAnsi="Times New Roman" w:cs="Times New Roman" w:eastAsia="標楷體"/>
          <w:sz w:val="28"/>
          <w:szCs w:val="28"/>
        </w:rPr>
        <w:t>類科：</w:t>
      </w:r>
    </w:p>
    <w:p>
      <w:pPr>
        <w:pStyle w:val="ListParagraph"/>
        <w:widowControl/>
        <w:numPr>
          <w:ilvl w:val="0"/>
          <w:numId w:val="22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了解學習者身心發展理論與特質、社經及文化背景之差異，並應用於特殊需求學生權益促進、教學與輔導。</w:t>
      </w:r>
    </w:p>
    <w:p>
      <w:pPr>
        <w:pStyle w:val="ListParagraph"/>
        <w:widowControl/>
        <w:numPr>
          <w:ilvl w:val="0"/>
          <w:numId w:val="22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了解特殊教育學生之殊異性並提供相關支持服務。</w:t>
      </w:r>
    </w:p>
    <w:p>
      <w:pPr>
        <w:pStyle w:val="ListParagraph"/>
        <w:widowControl/>
        <w:numPr>
          <w:ilvl w:val="0"/>
          <w:numId w:val="22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了解特殊教育學生之身心特質，應用適切之篩選轉介與鑑定評估，提供適切教育與支持服務。</w:t>
      </w:r>
    </w:p>
    <w:p>
      <w:pPr>
        <w:pStyle w:val="ListParagraph"/>
        <w:widowControl/>
        <w:numPr>
          <w:ilvl w:val="0"/>
          <w:numId w:val="22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了解正向支持之原理與方法，並應用於學習環境規劃與營造、親師生關係、學生自主學習與自我決策。</w:t>
      </w:r>
    </w:p>
    <w:p>
      <w:pPr>
        <w:pStyle w:val="ListParagraph"/>
        <w:widowControl/>
        <w:numPr>
          <w:ilvl w:val="0"/>
          <w:numId w:val="22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了解特殊教育學生認知與情意發展及可能之情緒與行為問題，並應用輔導原理與技巧，與相關專業人員合作，提供適性輔導與轉銜服務。</w:t>
      </w:r>
    </w:p>
    <w:p>
      <w:pPr>
        <w:pStyle w:val="ListParagraph"/>
        <w:widowControl/>
        <w:numPr>
          <w:ilvl w:val="0"/>
          <w:numId w:val="20"/>
        </w:numPr>
        <w:bidi w:val="0"/>
        <w:spacing w:lineRule="exact" w:line="460" w:before="120" w:after="120"/>
        <w:ind w:left="2127" w:right="6" w:hanging="426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國民小學類科：</w:t>
      </w:r>
    </w:p>
    <w:p>
      <w:pPr>
        <w:pStyle w:val="ListParagraph"/>
        <w:widowControl/>
        <w:numPr>
          <w:ilvl w:val="0"/>
          <w:numId w:val="23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了解兒童身心發展理論、不同社經及文化背景之發展差異，以及認知或行為個別差異，並應用於教學。</w:t>
      </w:r>
    </w:p>
    <w:p>
      <w:pPr>
        <w:pStyle w:val="ListParagraph"/>
        <w:widowControl/>
        <w:numPr>
          <w:ilvl w:val="0"/>
          <w:numId w:val="23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了解主要學習理論（包括學習策略）與動機理論，以促進國民小學學生學習。</w:t>
      </w:r>
    </w:p>
    <w:p>
      <w:pPr>
        <w:pStyle w:val="ListParagraph"/>
        <w:widowControl/>
        <w:numPr>
          <w:ilvl w:val="0"/>
          <w:numId w:val="23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辨識特殊需求學生之身心特質與篩選，並提供適切支持與轉介。</w:t>
      </w:r>
    </w:p>
    <w:p>
      <w:pPr>
        <w:pStyle w:val="ListParagraph"/>
        <w:widowControl/>
        <w:numPr>
          <w:ilvl w:val="0"/>
          <w:numId w:val="23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應用班級經營、正向支持的原理與方法，培養學生自律與自治，促進親師生關係及營造友善學習環境。</w:t>
      </w:r>
    </w:p>
    <w:p>
      <w:pPr>
        <w:pStyle w:val="ListParagraph"/>
        <w:widowControl/>
        <w:numPr>
          <w:ilvl w:val="0"/>
          <w:numId w:val="23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了解基本輔導理論與技巧、輔導機制與資源、輔導倫理與主要法規，並應用於協助學生適應與發展。</w:t>
      </w:r>
    </w:p>
    <w:p>
      <w:pPr>
        <w:pStyle w:val="ListParagraph"/>
        <w:widowControl/>
        <w:numPr>
          <w:ilvl w:val="0"/>
          <w:numId w:val="20"/>
        </w:numPr>
        <w:bidi w:val="0"/>
        <w:spacing w:lineRule="exact" w:line="460" w:before="120" w:after="120"/>
        <w:ind w:left="2127" w:right="6" w:hanging="426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中等學校類科：</w:t>
      </w:r>
    </w:p>
    <w:p>
      <w:pPr>
        <w:pStyle w:val="ListParagraph"/>
        <w:widowControl/>
        <w:numPr>
          <w:ilvl w:val="0"/>
          <w:numId w:val="24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了解青少年身心發展理論、不同社經及文化背景之發展差異，並應用於教學與輔導。</w:t>
      </w:r>
    </w:p>
    <w:p>
      <w:pPr>
        <w:pStyle w:val="ListParagraph"/>
        <w:widowControl/>
        <w:numPr>
          <w:ilvl w:val="0"/>
          <w:numId w:val="24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了解主要學習理論（包括學習策略）與動機理論，並應用於中等學校學生學習與輔導。</w:t>
      </w:r>
    </w:p>
    <w:p>
      <w:pPr>
        <w:pStyle w:val="ListParagraph"/>
        <w:widowControl/>
        <w:numPr>
          <w:ilvl w:val="0"/>
          <w:numId w:val="24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辨識特殊需求學生之身心特質及鑑定歷程，並提供適切教育與支持。</w:t>
      </w:r>
    </w:p>
    <w:p>
      <w:pPr>
        <w:pStyle w:val="ListParagraph"/>
        <w:widowControl/>
        <w:numPr>
          <w:ilvl w:val="0"/>
          <w:numId w:val="24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了解班級經營、正向支持之原理與技巧，並應用於營造學生自律與自治、親師生夥伴關係及友善學習環境。</w:t>
      </w:r>
    </w:p>
    <w:p>
      <w:pPr>
        <w:pStyle w:val="ListParagraph"/>
        <w:widowControl/>
        <w:numPr>
          <w:ilvl w:val="0"/>
          <w:numId w:val="24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了解主要輔導理論與技巧、輔導機制與資源、輔導倫理與主要法規，並應用於協助學生適應與發展。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exact" w:line="460" w:before="240" w:after="0"/>
        <w:ind w:left="2351" w:right="5" w:hanging="0"/>
        <w:rPr/>
      </w:pPr>
      <w:r>
        <w:rPr>
          <w:rFonts w:ascii="Times New Roman" w:hAnsi="Times New Roman" w:cs="標楷體" w:eastAsia="標楷體"/>
          <w:spacing w:val="12"/>
          <w:sz w:val="28"/>
          <w:szCs w:val="28"/>
        </w:rPr>
        <w:t>（五）</w:t>
      </w:r>
      <w:r>
        <w:rPr>
          <w:rFonts w:ascii="Times New Roman" w:hAnsi="Times New Roman" w:cs="Times New Roman" w:eastAsia="標楷體"/>
          <w:sz w:val="28"/>
          <w:szCs w:val="28"/>
        </w:rPr>
        <w:t>課程</w:t>
      </w:r>
      <w:r>
        <w:rPr>
          <w:rFonts w:ascii="Times New Roman" w:hAnsi="Times New Roman" w:cs="標楷體" w:eastAsia="標楷體"/>
          <w:sz w:val="28"/>
          <w:szCs w:val="28"/>
        </w:rPr>
        <w:t>教學</w:t>
      </w:r>
      <w:r>
        <w:rPr>
          <w:rFonts w:ascii="Times New Roman" w:hAnsi="Times New Roman" w:cs="Times New Roman" w:eastAsia="標楷體"/>
          <w:sz w:val="28"/>
          <w:szCs w:val="28"/>
        </w:rPr>
        <w:t xml:space="preserve">與評量： </w:t>
      </w:r>
    </w:p>
    <w:p>
      <w:pPr>
        <w:pStyle w:val="ListParagraph"/>
        <w:widowControl/>
        <w:numPr>
          <w:ilvl w:val="0"/>
          <w:numId w:val="25"/>
        </w:numPr>
        <w:bidi w:val="0"/>
        <w:spacing w:lineRule="exact" w:line="460"/>
        <w:ind w:left="1701" w:right="5" w:hanging="283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題型：本考科題型分為選擇題、問答題及綜合題。</w:t>
      </w:r>
    </w:p>
    <w:p>
      <w:pPr>
        <w:pStyle w:val="ListParagraph"/>
        <w:widowControl/>
        <w:numPr>
          <w:ilvl w:val="0"/>
          <w:numId w:val="25"/>
        </w:numPr>
        <w:bidi w:val="0"/>
        <w:spacing w:lineRule="exact" w:line="460"/>
        <w:ind w:left="1701" w:right="5" w:hanging="283"/>
        <w:rPr/>
      </w:pPr>
      <w:r>
        <w:rPr>
          <w:rFonts w:ascii="Times New Roman" w:hAnsi="Times New Roman" w:cs="Times New Roman" w:eastAsia="標楷體"/>
          <w:sz w:val="28"/>
          <w:szCs w:val="28"/>
        </w:rPr>
        <w:t>素養評量指標</w:t>
      </w:r>
      <w:r>
        <w:rPr>
          <w:rFonts w:ascii="Times New Roman" w:hAnsi="Times New Roman" w:cs="標楷體" w:eastAsia="標楷體"/>
          <w:sz w:val="28"/>
          <w:szCs w:val="28"/>
        </w:rPr>
        <w:t>：</w:t>
      </w:r>
    </w:p>
    <w:p>
      <w:pPr>
        <w:pStyle w:val="ListParagraph"/>
        <w:widowControl/>
        <w:numPr>
          <w:ilvl w:val="0"/>
          <w:numId w:val="26"/>
        </w:numPr>
        <w:bidi w:val="0"/>
        <w:spacing w:lineRule="exact" w:line="460" w:before="120" w:after="120"/>
        <w:ind w:left="2127" w:right="6" w:hanging="426"/>
        <w:jc w:val="both"/>
        <w:rPr>
          <w:rFonts w:ascii="Times New Roman" w:hAnsi="Times New Roman" w:eastAsia="標楷體" w:cs="標楷體"/>
          <w:sz w:val="28"/>
          <w:szCs w:val="28"/>
        </w:rPr>
      </w:pPr>
      <w:r>
        <w:rPr>
          <w:rFonts w:ascii="Times New Roman" w:hAnsi="Times New Roman" w:cs="標楷體" w:eastAsia="標楷體"/>
          <w:sz w:val="28"/>
          <w:szCs w:val="28"/>
        </w:rPr>
        <w:t>幼兒園類科：</w:t>
      </w:r>
    </w:p>
    <w:p>
      <w:pPr>
        <w:pStyle w:val="ListParagraph"/>
        <w:widowControl/>
        <w:numPr>
          <w:ilvl w:val="0"/>
          <w:numId w:val="27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了解並應用幼兒教育課程之主要理論及取向，發展及設計課程、教學及評量。</w:t>
      </w:r>
    </w:p>
    <w:p>
      <w:pPr>
        <w:pStyle w:val="ListParagraph"/>
        <w:widowControl/>
        <w:numPr>
          <w:ilvl w:val="0"/>
          <w:numId w:val="27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了解各領域教材教法並應用統整概念設計課程、教學及評量。</w:t>
      </w:r>
    </w:p>
    <w:p>
      <w:pPr>
        <w:pStyle w:val="ListParagraph"/>
        <w:widowControl/>
        <w:numPr>
          <w:ilvl w:val="0"/>
          <w:numId w:val="27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了解社會變遷趨勢與議題，並融入於幼兒園課程與教學。</w:t>
      </w:r>
    </w:p>
    <w:p>
      <w:pPr>
        <w:pStyle w:val="ListParagraph"/>
        <w:widowControl/>
        <w:numPr>
          <w:ilvl w:val="0"/>
          <w:numId w:val="27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了解幼兒學習策略、多元教學策略、教學媒材與學習科技、資源及技術，並應用於幼兒之有效學習。</w:t>
      </w:r>
    </w:p>
    <w:p>
      <w:pPr>
        <w:pStyle w:val="ListParagraph"/>
        <w:widowControl/>
        <w:numPr>
          <w:ilvl w:val="0"/>
          <w:numId w:val="27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了解並應用幼兒園學習環境之理論基礎與規劃原則。</w:t>
      </w:r>
    </w:p>
    <w:p>
      <w:pPr>
        <w:pStyle w:val="ListParagraph"/>
        <w:widowControl/>
        <w:numPr>
          <w:ilvl w:val="0"/>
          <w:numId w:val="27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了解並應用幼兒園、家庭及社區資源融入課程規劃與教學。</w:t>
      </w:r>
    </w:p>
    <w:p>
      <w:pPr>
        <w:pStyle w:val="ListParagraph"/>
        <w:widowControl/>
        <w:numPr>
          <w:ilvl w:val="0"/>
          <w:numId w:val="27"/>
        </w:numPr>
        <w:bidi w:val="0"/>
        <w:spacing w:lineRule="exact" w:line="460"/>
        <w:ind w:left="2410" w:right="5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了解幼兒學習評量之原理與方法，並應用於學習回饋與教學調整。</w:t>
      </w:r>
    </w:p>
    <w:p>
      <w:pPr>
        <w:pStyle w:val="Normal"/>
        <w:widowControl/>
        <w:numPr>
          <w:ilvl w:val="0"/>
          <w:numId w:val="27"/>
        </w:numPr>
        <w:bidi w:val="0"/>
        <w:spacing w:lineRule="exact" w:line="460"/>
        <w:ind w:left="2410" w:right="5" w:hanging="283"/>
        <w:jc w:val="both"/>
        <w:rPr>
          <w:rFonts w:ascii="標楷體" w:hAnsi="標楷體" w:eastAsia="標楷體" w:cs="標楷體"/>
          <w:sz w:val="28"/>
          <w:szCs w:val="28"/>
          <w:u w:val="none"/>
          <w:lang w:bidi="hi-IN"/>
        </w:rPr>
      </w:pPr>
      <w:r>
        <w:rPr>
          <w:rFonts w:ascii="標楷體" w:hAnsi="標楷體" w:cs="標楷體" w:eastAsia="標楷體"/>
          <w:sz w:val="28"/>
          <w:szCs w:val="28"/>
          <w:u w:val="none"/>
          <w:lang w:bidi="hi-IN"/>
        </w:rPr>
        <w:t>了解並結合幼兒園領域專門知識與教學知能，應用於課程、教學之設計與實施。</w:t>
      </w:r>
    </w:p>
    <w:p>
      <w:pPr>
        <w:pStyle w:val="ListParagraph"/>
        <w:widowControl/>
        <w:numPr>
          <w:ilvl w:val="0"/>
          <w:numId w:val="26"/>
        </w:numPr>
        <w:bidi w:val="0"/>
        <w:spacing w:lineRule="exact" w:line="460" w:before="120" w:after="120"/>
        <w:ind w:left="2127" w:right="6" w:hanging="426"/>
        <w:jc w:val="both"/>
        <w:rPr/>
      </w:pPr>
      <w:r>
        <w:rPr>
          <w:rFonts w:ascii="Times New Roman" w:hAnsi="Times New Roman" w:cs="標楷體" w:eastAsia="標楷體"/>
          <w:sz w:val="28"/>
          <w:szCs w:val="28"/>
        </w:rPr>
        <w:t>特殊教育學校（班）</w:t>
      </w:r>
      <w:r>
        <w:rPr>
          <w:rFonts w:ascii="Times New Roman" w:hAnsi="Times New Roman" w:cs="Times New Roman" w:eastAsia="標楷體"/>
          <w:sz w:val="28"/>
          <w:szCs w:val="28"/>
        </w:rPr>
        <w:t>類科：</w:t>
      </w:r>
    </w:p>
    <w:p>
      <w:pPr>
        <w:pStyle w:val="ListParagraph"/>
        <w:widowControl/>
        <w:numPr>
          <w:ilvl w:val="0"/>
          <w:numId w:val="32"/>
        </w:numPr>
        <w:bidi w:val="0"/>
        <w:spacing w:lineRule="exact" w:line="460" w:before="120" w:after="120"/>
        <w:ind w:left="2410" w:right="6" w:hanging="283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身心障礙組：</w:t>
      </w:r>
    </w:p>
    <w:p>
      <w:pPr>
        <w:pStyle w:val="ListParagraph"/>
        <w:widowControl/>
        <w:numPr>
          <w:ilvl w:val="0"/>
          <w:numId w:val="28"/>
        </w:numPr>
        <w:bidi w:val="0"/>
        <w:spacing w:lineRule="exact" w:line="460"/>
        <w:ind w:left="2778" w:right="0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了解特殊教育學生課程之主要理論、設計原則與模式，並應用於特殊教育學校</w:t>
      </w:r>
      <w:r>
        <w:rPr>
          <w:rFonts w:ascii="Times New Roman" w:hAnsi="Times New Roman" w:cs="標楷體" w:eastAsia="標楷體"/>
          <w:sz w:val="28"/>
          <w:szCs w:val="28"/>
        </w:rPr>
        <w:t>（班）</w:t>
      </w:r>
      <w:r>
        <w:rPr>
          <w:rFonts w:ascii="Times New Roman" w:hAnsi="Times New Roman" w:cs="Times New Roman" w:eastAsia="標楷體"/>
          <w:sz w:val="28"/>
          <w:szCs w:val="28"/>
        </w:rPr>
        <w:t>之課程調整及特殊需求領域課程，發展素養導向課程、教學及評量。</w:t>
      </w:r>
    </w:p>
    <w:p>
      <w:pPr>
        <w:pStyle w:val="ListParagraph"/>
        <w:widowControl/>
        <w:numPr>
          <w:ilvl w:val="0"/>
          <w:numId w:val="28"/>
        </w:numPr>
        <w:bidi w:val="0"/>
        <w:spacing w:lineRule="exact" w:line="460"/>
        <w:ind w:left="2778" w:right="0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了解特殊教育學生教學之主要理論與模式、活動與設計、多元教學策略及方法，並應用於特殊教育學校</w:t>
      </w:r>
      <w:r>
        <w:rPr>
          <w:rFonts w:ascii="Times New Roman" w:hAnsi="Times New Roman" w:cs="標楷體" w:eastAsia="標楷體"/>
          <w:sz w:val="28"/>
          <w:szCs w:val="28"/>
        </w:rPr>
        <w:t>（班）</w:t>
      </w:r>
      <w:r>
        <w:rPr>
          <w:rFonts w:ascii="Times New Roman" w:hAnsi="Times New Roman" w:cs="Times New Roman" w:eastAsia="標楷體"/>
          <w:sz w:val="28"/>
          <w:szCs w:val="28"/>
        </w:rPr>
        <w:t>之跨領域／科目／情境之素養導向教學。</w:t>
      </w:r>
    </w:p>
    <w:p>
      <w:pPr>
        <w:pStyle w:val="ListParagraph"/>
        <w:widowControl/>
        <w:numPr>
          <w:ilvl w:val="0"/>
          <w:numId w:val="28"/>
        </w:numPr>
        <w:bidi w:val="0"/>
        <w:spacing w:lineRule="exact" w:line="460"/>
        <w:ind w:left="2778" w:right="0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了解社會變遷趨勢與議題，並應用於特殊教育課程教學與評量。</w:t>
      </w:r>
    </w:p>
    <w:p>
      <w:pPr>
        <w:pStyle w:val="ListParagraph"/>
        <w:widowControl/>
        <w:numPr>
          <w:ilvl w:val="0"/>
          <w:numId w:val="28"/>
        </w:numPr>
        <w:bidi w:val="0"/>
        <w:spacing w:lineRule="exact" w:line="460"/>
        <w:ind w:left="2778" w:right="0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了解教學媒材及輔助科技等相關資源，並應用於特殊教育教學設計與環境規劃。</w:t>
      </w:r>
    </w:p>
    <w:p>
      <w:pPr>
        <w:pStyle w:val="ListParagraph"/>
        <w:widowControl/>
        <w:numPr>
          <w:ilvl w:val="0"/>
          <w:numId w:val="28"/>
        </w:numPr>
        <w:bidi w:val="0"/>
        <w:spacing w:lineRule="exact" w:line="460"/>
        <w:ind w:left="2778" w:right="0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了解特殊教育學生之特質能力及需求，擬定適當課程與相關服務，並執行個別化教育計畫。</w:t>
      </w:r>
    </w:p>
    <w:p>
      <w:pPr>
        <w:pStyle w:val="ListParagraph"/>
        <w:widowControl/>
        <w:numPr>
          <w:ilvl w:val="0"/>
          <w:numId w:val="28"/>
        </w:numPr>
        <w:bidi w:val="0"/>
        <w:spacing w:lineRule="exact" w:line="460"/>
        <w:ind w:left="2778" w:right="0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了解多元與適性評量之原理與方法，並依據學習回饋應用於教學調整。</w:t>
      </w:r>
    </w:p>
    <w:p>
      <w:pPr>
        <w:pStyle w:val="ListParagraph"/>
        <w:widowControl/>
        <w:numPr>
          <w:ilvl w:val="0"/>
          <w:numId w:val="32"/>
        </w:numPr>
        <w:bidi w:val="0"/>
        <w:spacing w:lineRule="exact" w:line="460" w:before="120" w:after="120"/>
        <w:ind w:left="2410" w:right="6" w:hanging="283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資賦優異組：</w:t>
      </w:r>
    </w:p>
    <w:p>
      <w:pPr>
        <w:pStyle w:val="ListParagraph"/>
        <w:widowControl/>
        <w:numPr>
          <w:ilvl w:val="0"/>
          <w:numId w:val="31"/>
        </w:numPr>
        <w:bidi w:val="0"/>
        <w:spacing w:lineRule="exact" w:line="460"/>
        <w:ind w:left="2778" w:right="0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了解特殊教育學生課程之主要理論、設計原則與模式，並應用於特殊教育學校</w:t>
      </w:r>
      <w:r>
        <w:rPr>
          <w:rFonts w:ascii="Times New Roman" w:hAnsi="Times New Roman" w:cs="標楷體" w:eastAsia="標楷體"/>
          <w:sz w:val="28"/>
          <w:szCs w:val="28"/>
        </w:rPr>
        <w:t>（班）</w:t>
      </w:r>
      <w:r>
        <w:rPr>
          <w:rFonts w:ascii="Times New Roman" w:hAnsi="Times New Roman" w:cs="Times New Roman" w:eastAsia="標楷體"/>
          <w:sz w:val="28"/>
          <w:szCs w:val="28"/>
        </w:rPr>
        <w:t>之課程調整及特殊需求領域課程，發展素養導向課程、教學及評量。</w:t>
      </w:r>
    </w:p>
    <w:p>
      <w:pPr>
        <w:pStyle w:val="ListParagraph"/>
        <w:widowControl/>
        <w:numPr>
          <w:ilvl w:val="0"/>
          <w:numId w:val="31"/>
        </w:numPr>
        <w:bidi w:val="0"/>
        <w:spacing w:lineRule="exact" w:line="460"/>
        <w:ind w:left="2778" w:right="0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了解特殊教育學生教學之主要理論與模式、活動與設計、多元教學策略及方法，並應用於特殊教育學校</w:t>
      </w:r>
      <w:r>
        <w:rPr>
          <w:rFonts w:ascii="Times New Roman" w:hAnsi="Times New Roman" w:cs="標楷體" w:eastAsia="標楷體"/>
          <w:sz w:val="28"/>
          <w:szCs w:val="28"/>
        </w:rPr>
        <w:t>（班）</w:t>
      </w:r>
      <w:r>
        <w:rPr>
          <w:rFonts w:ascii="Times New Roman" w:hAnsi="Times New Roman" w:cs="Times New Roman" w:eastAsia="標楷體"/>
          <w:sz w:val="28"/>
          <w:szCs w:val="28"/>
        </w:rPr>
        <w:t>之跨領域／科目／情境之素養導向教學。</w:t>
      </w:r>
    </w:p>
    <w:p>
      <w:pPr>
        <w:pStyle w:val="ListParagraph"/>
        <w:widowControl/>
        <w:numPr>
          <w:ilvl w:val="0"/>
          <w:numId w:val="31"/>
        </w:numPr>
        <w:bidi w:val="0"/>
        <w:spacing w:lineRule="exact" w:line="460"/>
        <w:ind w:left="2778" w:right="0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了解社會變遷趨勢與議題，並應用於特殊教育課程教學與評量。</w:t>
      </w:r>
    </w:p>
    <w:p>
      <w:pPr>
        <w:pStyle w:val="ListParagraph"/>
        <w:widowControl/>
        <w:numPr>
          <w:ilvl w:val="0"/>
          <w:numId w:val="31"/>
        </w:numPr>
        <w:bidi w:val="0"/>
        <w:spacing w:lineRule="exact" w:line="460"/>
        <w:ind w:left="2778" w:right="0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了解教學媒材及輔助科技等相關資源，並應用於特殊教育教學設計與環境規劃。</w:t>
      </w:r>
    </w:p>
    <w:p>
      <w:pPr>
        <w:pStyle w:val="ListParagraph"/>
        <w:widowControl/>
        <w:numPr>
          <w:ilvl w:val="0"/>
          <w:numId w:val="31"/>
        </w:numPr>
        <w:bidi w:val="0"/>
        <w:spacing w:lineRule="exact" w:line="460"/>
        <w:ind w:left="2778" w:right="0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了解特殊教育學生之特質能力及需求，擬定適當課程與相關服務，並執行個別輔導計畫。</w:t>
      </w:r>
    </w:p>
    <w:p>
      <w:pPr>
        <w:pStyle w:val="ListParagraph"/>
        <w:widowControl/>
        <w:numPr>
          <w:ilvl w:val="0"/>
          <w:numId w:val="31"/>
        </w:numPr>
        <w:bidi w:val="0"/>
        <w:spacing w:lineRule="exact" w:line="460"/>
        <w:ind w:left="2778" w:right="0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了解多元與適性評量之原理與方法，並依據學習回饋應用於教學調整。</w:t>
      </w:r>
    </w:p>
    <w:p>
      <w:pPr>
        <w:pStyle w:val="ListParagraph"/>
        <w:widowControl/>
        <w:numPr>
          <w:ilvl w:val="0"/>
          <w:numId w:val="26"/>
        </w:numPr>
        <w:bidi w:val="0"/>
        <w:spacing w:lineRule="exact" w:line="460" w:before="120" w:after="120"/>
        <w:ind w:left="2127" w:right="6" w:hanging="426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國民小學類科：本指標中所指稱之「了解」與「應用」，涵蓋師資生之情境應用、高層次思考、反思修正等表現，包括下列五項：</w:t>
      </w:r>
    </w:p>
    <w:p>
      <w:pPr>
        <w:pStyle w:val="ListParagraph"/>
        <w:widowControl/>
        <w:numPr>
          <w:ilvl w:val="0"/>
          <w:numId w:val="29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了解課程主要原理、課程發展與設計、課程評鑑之原則，以應用於國民小學課程、教學及評量。</w:t>
      </w:r>
    </w:p>
    <w:p>
      <w:pPr>
        <w:pStyle w:val="ListParagraph"/>
        <w:widowControl/>
        <w:numPr>
          <w:ilvl w:val="0"/>
          <w:numId w:val="29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考量社會變遷中之重要議題、課程政策與改革趨勢，以發展課程、教學及評量。</w:t>
      </w:r>
    </w:p>
    <w:p>
      <w:pPr>
        <w:pStyle w:val="ListParagraph"/>
        <w:widowControl/>
        <w:numPr>
          <w:ilvl w:val="0"/>
          <w:numId w:val="29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了解教學之主要理論與模式，以設計、實施、改善國民小學教學。</w:t>
      </w:r>
    </w:p>
    <w:p>
      <w:pPr>
        <w:pStyle w:val="ListParagraph"/>
        <w:widowControl/>
        <w:numPr>
          <w:ilvl w:val="0"/>
          <w:numId w:val="29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了解多元教學方法與策略、學習科技與資源，以應用於國民小學教學規劃與實踐（包括探究與實作）。</w:t>
      </w:r>
    </w:p>
    <w:p>
      <w:pPr>
        <w:pStyle w:val="ListParagraph"/>
        <w:widowControl/>
        <w:numPr>
          <w:ilvl w:val="0"/>
          <w:numId w:val="29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了解與使用多元評量方法（包括使用科技），以檢視學習進展，促進學生自我成長，及指引與調整教學。</w:t>
      </w:r>
    </w:p>
    <w:p>
      <w:pPr>
        <w:pStyle w:val="ListParagraph"/>
        <w:widowControl/>
        <w:numPr>
          <w:ilvl w:val="0"/>
          <w:numId w:val="26"/>
        </w:numPr>
        <w:bidi w:val="0"/>
        <w:spacing w:lineRule="exact" w:line="460" w:before="120" w:after="120"/>
        <w:ind w:left="2127" w:right="6" w:hanging="426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中等學校類科：本指標中所指稱之「了解」與「應用」，涵蓋師資生之情境應用、高層次思考、反思修正等表現，包括下列五項：</w:t>
      </w:r>
    </w:p>
    <w:p>
      <w:pPr>
        <w:pStyle w:val="ListParagraph"/>
        <w:widowControl/>
        <w:numPr>
          <w:ilvl w:val="0"/>
          <w:numId w:val="30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了解課程主要原理、課程發展與設計、課程評鑑之原則，以應用於中等學校課程、教學及評量。</w:t>
      </w:r>
    </w:p>
    <w:p>
      <w:pPr>
        <w:pStyle w:val="ListParagraph"/>
        <w:widowControl/>
        <w:numPr>
          <w:ilvl w:val="0"/>
          <w:numId w:val="30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考量社會變遷中之重要議題、課程政策與改革趨勢，以發展課程、教學及評量。</w:t>
      </w:r>
    </w:p>
    <w:p>
      <w:pPr>
        <w:pStyle w:val="ListParagraph"/>
        <w:widowControl/>
        <w:numPr>
          <w:ilvl w:val="0"/>
          <w:numId w:val="30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了解教學之主要理論與模式，以設計、實施、改善中等學校教學。</w:t>
      </w:r>
    </w:p>
    <w:p>
      <w:pPr>
        <w:pStyle w:val="ListParagraph"/>
        <w:widowControl/>
        <w:numPr>
          <w:ilvl w:val="0"/>
          <w:numId w:val="30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了解多元教學方法與策略、學習科技與資源，以應用於中等學校教學規劃與實踐（包括探究與實作）。</w:t>
      </w:r>
    </w:p>
    <w:p>
      <w:pPr>
        <w:pStyle w:val="ListParagraph"/>
        <w:widowControl/>
        <w:numPr>
          <w:ilvl w:val="0"/>
          <w:numId w:val="30"/>
        </w:numPr>
        <w:bidi w:val="0"/>
        <w:spacing w:lineRule="exact" w:line="460" w:before="120" w:after="120"/>
        <w:ind w:left="2410" w:right="6" w:hanging="283"/>
        <w:jc w:val="both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了解與使用多元評量方法（包括使用科技），以檢視學習進展，促進學生自我成長，及指引與調整教學。</w:t>
      </w:r>
    </w:p>
    <w:p>
      <w:pPr>
        <w:pStyle w:val="Normal"/>
        <w:widowControl/>
        <w:bidi w:val="0"/>
        <w:spacing w:lineRule="exact" w:line="460"/>
        <w:ind w:left="590" w:right="5" w:hanging="590"/>
        <w:jc w:val="both"/>
        <w:rPr>
          <w:rFonts w:ascii="Times New Roman" w:hAnsi="Times New Roman" w:eastAsia="標楷體" w:cs="標楷體"/>
          <w:spacing w:val="6"/>
          <w:sz w:val="28"/>
          <w:szCs w:val="28"/>
        </w:rPr>
      </w:pPr>
      <w:r>
        <w:rPr>
          <w:rFonts w:ascii="Times New Roman" w:hAnsi="Times New Roman" w:cs="標楷體" w:eastAsia="標楷體"/>
          <w:spacing w:val="6"/>
          <w:sz w:val="28"/>
          <w:szCs w:val="28"/>
        </w:rPr>
        <w:t xml:space="preserve">五、各應試科目以一百分為滿分。命題如為選擇題型者，應為四選一之單選題，答錯不倒扣。 </w:t>
      </w:r>
    </w:p>
    <w:p>
      <w:pPr>
        <w:pStyle w:val="Normal"/>
        <w:widowControl/>
        <w:bidi w:val="0"/>
        <w:spacing w:lineRule="exact" w:line="460"/>
        <w:ind w:left="590" w:right="5" w:hanging="590"/>
        <w:jc w:val="both"/>
        <w:rPr>
          <w:rFonts w:ascii="Times New Roman" w:hAnsi="Times New Roman" w:eastAsia="標楷體" w:cs="標楷體"/>
          <w:spacing w:val="6"/>
          <w:sz w:val="28"/>
          <w:szCs w:val="28"/>
        </w:rPr>
      </w:pPr>
      <w:r>
        <w:rPr>
          <w:rFonts w:ascii="Times New Roman" w:hAnsi="Times New Roman" w:cs="標楷體" w:eastAsia="標楷體"/>
          <w:spacing w:val="6"/>
          <w:sz w:val="28"/>
          <w:szCs w:val="28"/>
        </w:rPr>
        <w:t>六、題庫之命題委員擬定試題，應親自為之，並嚴守秘密。</w:t>
      </w:r>
    </w:p>
    <w:p>
      <w:pPr>
        <w:pStyle w:val="Normal"/>
        <w:widowControl/>
        <w:bidi w:val="0"/>
        <w:spacing w:lineRule="exact" w:line="460"/>
        <w:ind w:left="590" w:right="5" w:hanging="590"/>
        <w:jc w:val="both"/>
        <w:rPr>
          <w:rFonts w:ascii="Times New Roman" w:hAnsi="Times New Roman" w:eastAsia="標楷體" w:cs="標楷體"/>
          <w:spacing w:val="6"/>
          <w:sz w:val="28"/>
          <w:szCs w:val="28"/>
        </w:rPr>
      </w:pPr>
      <w:r>
        <w:rPr>
          <w:rFonts w:ascii="Times New Roman" w:hAnsi="Times New Roman" w:cs="標楷體" w:eastAsia="標楷體"/>
          <w:spacing w:val="6"/>
          <w:sz w:val="28"/>
          <w:szCs w:val="28"/>
        </w:rPr>
        <w:t>七、各科審題委員、命題委員及組題委員如有本人、配偶、三親等內之血親、姻親應考時，應行迴避。</w:t>
      </w:r>
    </w:p>
    <w:p>
      <w:pPr>
        <w:pStyle w:val="Normal"/>
        <w:spacing w:lineRule="auto" w:line="288" w:before="0" w:after="140"/>
        <w:ind w:left="567" w:right="0" w:hanging="567"/>
        <w:rPr>
          <w:rFonts w:ascii="標楷體" w:hAnsi="標楷體" w:eastAsia="標楷體"/>
          <w:color w:val="000000"/>
          <w:sz w:val="28"/>
          <w:lang w:eastAsia="en-US"/>
        </w:rPr>
      </w:pPr>
      <w:r>
        <w:rPr>
          <w:rFonts w:eastAsia="標楷體" w:ascii="標楷體" w:hAnsi="標楷體"/>
          <w:color w:val="000000"/>
          <w:lang w:eastAsia="en-US"/>
        </w:rPr>
      </w:r>
    </w:p>
    <w:sectPr>
      <w:footerReference w:type="default" r:id="rId2"/>
      <w:type w:val="nextPage"/>
      <w:pgSz w:w="11906" w:h="16838"/>
      <w:pgMar w:left="1440" w:right="1676" w:header="0" w:top="1134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OpenSymbol">
    <w:altName w:val="Arial Unicode MS"/>
    <w:charset w:val="02"/>
    <w:family w:val="auto"/>
    <w:pitch w:val="default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Calibri">
    <w:charset w:val="88"/>
    <w:family w:val="roman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5345" w:hanging="480"/>
      </w:pPr>
      <w:rPr>
        <w:sz w:val="28"/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5705" w:hanging="360"/>
      </w:pPr>
      <w:rPr>
        <w:sz w:val="28"/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6305" w:hanging="480"/>
      </w:pPr>
      <w:rPr>
        <w:sz w:val="28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678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726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22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870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185" w:hanging="480"/>
      </w:pPr>
      <w:rPr>
        <w:rFonts w:cs="Times New Roman"/>
      </w:rPr>
    </w:lvl>
  </w:abstractNum>
  <w:abstractNum w:abstractNumId="2">
    <w:lvl w:ilvl="0">
      <w:start w:val="1"/>
      <w:numFmt w:val="taiwaneseCountingThousand"/>
      <w:lvlText w:val="（%1）"/>
      <w:lvlJc w:val="left"/>
      <w:pPr>
        <w:ind w:left="1784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26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4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70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6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14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24" w:hanging="4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2748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322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0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8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66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4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2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10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88" w:hanging="4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2748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322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0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8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66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4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2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10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88" w:hanging="4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2748" w:hanging="480"/>
      </w:pPr>
      <w:rPr>
        <w:sz w:val="28"/>
        <w:rFonts w:ascii="Times New Roman" w:hAnsi="Times New Roman" w:cs="Times New Roman"/>
      </w:rPr>
    </w:lvl>
    <w:lvl w:ilvl="1">
      <w:start w:val="1"/>
      <w:numFmt w:val="taiwaneseCountingThousand"/>
      <w:lvlText w:val="（%2）"/>
      <w:lvlJc w:val="left"/>
      <w:pPr>
        <w:ind w:left="3588" w:hanging="840"/>
      </w:pPr>
      <w:rPr>
        <w:rFonts w:cs="新細明體"/>
      </w:rPr>
    </w:lvl>
    <w:lvl w:ilvl="2">
      <w:start w:val="1"/>
      <w:numFmt w:val="lowerRoman"/>
      <w:lvlText w:val="%3."/>
      <w:lvlJc w:val="right"/>
      <w:pPr>
        <w:ind w:left="370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8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66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4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2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10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88" w:hanging="4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2748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322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0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8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66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4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2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10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88" w:hanging="480"/>
      </w:pPr>
      <w:rPr>
        <w:rFonts w:cs="Times New Roman"/>
      </w:rPr>
    </w:lvl>
  </w:abstractNum>
  <w:abstractNum w:abstractNumId="7">
    <w:lvl w:ilvl="0">
      <w:start w:val="1"/>
      <w:numFmt w:val="taiwaneseCountingThousand"/>
      <w:lvlText w:val="（%1）"/>
      <w:lvlJc w:val="left"/>
      <w:pPr>
        <w:ind w:left="1784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26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4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70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6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14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24" w:hanging="4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ind w:left="2431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91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3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7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71" w:hanging="4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2431" w:hanging="48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（%2）"/>
      <w:lvlJc w:val="left"/>
      <w:pPr>
        <w:ind w:left="3151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3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7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71" w:hanging="480"/>
      </w:pPr>
      <w:rPr>
        <w:rFonts w:cs="Times New Roman"/>
      </w:rPr>
    </w:lvl>
  </w:abstractNum>
  <w:abstractNum w:abstractNumId="10">
    <w:lvl w:ilvl="0">
      <w:start w:val="1"/>
      <w:numFmt w:val="decimal"/>
      <w:lvlText w:val="(%1)"/>
      <w:lvlJc w:val="left"/>
      <w:pPr>
        <w:ind w:left="3355" w:hanging="48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7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31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79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27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5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3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71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95" w:hanging="480"/>
      </w:pPr>
      <w:rPr>
        <w:rFonts w:cs="Times New Roman"/>
      </w:rPr>
    </w:lvl>
  </w:abstractNum>
  <w:abstractNum w:abstractNumId="11">
    <w:lvl w:ilvl="0">
      <w:start w:val="1"/>
      <w:numFmt w:val="upperLetter"/>
      <w:lvlText w:val="%1."/>
      <w:lvlJc w:val="left"/>
      <w:pPr>
        <w:ind w:left="3174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365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3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1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09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7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5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53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14" w:hanging="480"/>
      </w:pPr>
      <w:rPr>
        <w:rFonts w:cs="Times New Roman"/>
      </w:rPr>
    </w:lvl>
  </w:abstractNum>
  <w:abstractNum w:abstractNumId="12">
    <w:lvl w:ilvl="0">
      <w:start w:val="1"/>
      <w:numFmt w:val="upperLetter"/>
      <w:lvlText w:val="%1."/>
      <w:lvlJc w:val="left"/>
      <w:pPr>
        <w:ind w:left="3174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365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3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1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09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7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5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53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14" w:hanging="480"/>
      </w:pPr>
      <w:rPr>
        <w:rFonts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ind w:left="2431" w:hanging="48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（%2）"/>
      <w:lvlJc w:val="left"/>
      <w:pPr>
        <w:ind w:left="3151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3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7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71" w:hanging="480"/>
      </w:pPr>
      <w:rPr>
        <w:rFonts w:cs="Times New Roman"/>
      </w:rPr>
    </w:lvl>
  </w:abstractNum>
  <w:abstractNum w:abstractNumId="14">
    <w:lvl w:ilvl="0">
      <w:start w:val="1"/>
      <w:numFmt w:val="upperLetter"/>
      <w:lvlText w:val="%1."/>
      <w:lvlJc w:val="left"/>
      <w:pPr>
        <w:ind w:left="3619" w:hanging="48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9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7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5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53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1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9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97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59" w:hanging="480"/>
      </w:pPr>
      <w:rPr>
        <w:rFonts w:cs="Times New Roman"/>
      </w:rPr>
    </w:lvl>
  </w:abstractNum>
  <w:abstractNum w:abstractNumId="15">
    <w:lvl w:ilvl="0">
      <w:start w:val="1"/>
      <w:numFmt w:val="decimal"/>
      <w:lvlText w:val="%1."/>
      <w:lvlJc w:val="left"/>
      <w:pPr>
        <w:ind w:left="2532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301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9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7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45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1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89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72" w:hanging="480"/>
      </w:pPr>
      <w:rPr>
        <w:rFonts w:cs="Times New Roman"/>
      </w:rPr>
    </w:lvl>
  </w:abstractNum>
  <w:abstractNum w:abstractNumId="16">
    <w:lvl w:ilvl="0">
      <w:start w:val="1"/>
      <w:numFmt w:val="decimal"/>
      <w:lvlText w:val="(%1)"/>
      <w:lvlJc w:val="left"/>
      <w:pPr>
        <w:ind w:left="3355" w:hanging="48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7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31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79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27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5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3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71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95" w:hanging="480"/>
      </w:pPr>
      <w:rPr>
        <w:rFonts w:cs="Times New Roman"/>
      </w:rPr>
    </w:lvl>
  </w:abstractNum>
  <w:abstractNum w:abstractNumId="17">
    <w:lvl w:ilvl="0">
      <w:start w:val="1"/>
      <w:numFmt w:val="upperLetter"/>
      <w:lvlText w:val="%1."/>
      <w:lvlJc w:val="left"/>
      <w:pPr>
        <w:ind w:left="3619" w:hanging="48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9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7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5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53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1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9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97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59" w:hanging="480"/>
      </w:pPr>
      <w:rPr>
        <w:rFonts w:cs="Times New Roman"/>
      </w:rPr>
    </w:lvl>
  </w:abstractNum>
  <w:abstractNum w:abstractNumId="18">
    <w:lvl w:ilvl="0">
      <w:start w:val="1"/>
      <w:numFmt w:val="upperLetter"/>
      <w:lvlText w:val="%1."/>
      <w:lvlJc w:val="left"/>
      <w:pPr>
        <w:ind w:left="3174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365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3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1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09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7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5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53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14" w:hanging="480"/>
      </w:pPr>
      <w:rPr>
        <w:rFonts w:cs="Times New Roman"/>
      </w:rPr>
    </w:lvl>
  </w:abstractNum>
  <w:abstractNum w:abstractNumId="19">
    <w:lvl w:ilvl="0">
      <w:start w:val="1"/>
      <w:numFmt w:val="upperLetter"/>
      <w:lvlText w:val="%1."/>
      <w:lvlJc w:val="left"/>
      <w:pPr>
        <w:ind w:left="3174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365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3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1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09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7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5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53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14" w:hanging="480"/>
      </w:pPr>
      <w:rPr>
        <w:rFonts w:cs="Times New Roman"/>
      </w:rPr>
    </w:lvl>
  </w:abstractNum>
  <w:abstractNum w:abstractNumId="20">
    <w:lvl w:ilvl="0">
      <w:start w:val="1"/>
      <w:numFmt w:val="decimal"/>
      <w:lvlText w:val="(%1)"/>
      <w:lvlJc w:val="left"/>
      <w:pPr>
        <w:ind w:left="3355" w:hanging="48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7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31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79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27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5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3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71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95" w:hanging="480"/>
      </w:pPr>
      <w:rPr>
        <w:rFonts w:cs="Times New Roman"/>
      </w:rPr>
    </w:lvl>
  </w:abstractNum>
  <w:abstractNum w:abstractNumId="21">
    <w:lvl w:ilvl="0">
      <w:start w:val="1"/>
      <w:numFmt w:val="upperLetter"/>
      <w:lvlText w:val="%1."/>
      <w:lvlJc w:val="left"/>
      <w:pPr>
        <w:ind w:left="3619" w:hanging="48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9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7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5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53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1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9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97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59" w:hanging="480"/>
      </w:pPr>
      <w:rPr>
        <w:rFonts w:cs="Times New Roman"/>
      </w:rPr>
    </w:lvl>
  </w:abstractNum>
  <w:abstractNum w:abstractNumId="22">
    <w:lvl w:ilvl="0">
      <w:start w:val="1"/>
      <w:numFmt w:val="upperLetter"/>
      <w:lvlText w:val="%1."/>
      <w:lvlJc w:val="left"/>
      <w:pPr>
        <w:ind w:left="3619" w:hanging="48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9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7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5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53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1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9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97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59" w:hanging="480"/>
      </w:pPr>
      <w:rPr>
        <w:rFonts w:cs="Times New Roman"/>
      </w:rPr>
    </w:lvl>
  </w:abstractNum>
  <w:abstractNum w:abstractNumId="23">
    <w:lvl w:ilvl="0">
      <w:start w:val="1"/>
      <w:numFmt w:val="upperLetter"/>
      <w:lvlText w:val="%1."/>
      <w:lvlJc w:val="left"/>
      <w:pPr>
        <w:ind w:left="3174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365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3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1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09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7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5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53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14" w:hanging="480"/>
      </w:pPr>
      <w:rPr>
        <w:rFonts w:cs="Times New Roman"/>
      </w:rPr>
    </w:lvl>
  </w:abstractNum>
  <w:abstractNum w:abstractNumId="24">
    <w:lvl w:ilvl="0">
      <w:start w:val="1"/>
      <w:numFmt w:val="upperLetter"/>
      <w:lvlText w:val="%1."/>
      <w:lvlJc w:val="left"/>
      <w:pPr>
        <w:ind w:left="3174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365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3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1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09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7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5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53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14" w:hanging="480"/>
      </w:pPr>
      <w:rPr>
        <w:rFonts w:cs="Times New Roman"/>
      </w:rPr>
    </w:lvl>
  </w:abstractNum>
  <w:abstractNum w:abstractNumId="25">
    <w:lvl w:ilvl="0">
      <w:start w:val="1"/>
      <w:numFmt w:val="decimal"/>
      <w:lvlText w:val="%1."/>
      <w:lvlJc w:val="left"/>
      <w:pPr>
        <w:ind w:left="2532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301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9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7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45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1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89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72" w:hanging="480"/>
      </w:pPr>
      <w:rPr>
        <w:rFonts w:cs="Times New Roman"/>
      </w:rPr>
    </w:lvl>
  </w:abstractNum>
  <w:abstractNum w:abstractNumId="26">
    <w:lvl w:ilvl="0">
      <w:start w:val="1"/>
      <w:numFmt w:val="decimal"/>
      <w:lvlText w:val="(%1)"/>
      <w:lvlJc w:val="left"/>
      <w:pPr>
        <w:ind w:left="3355" w:hanging="48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7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31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79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27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5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3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71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95" w:hanging="480"/>
      </w:pPr>
      <w:rPr>
        <w:rFonts w:cs="Times New Roman"/>
      </w:rPr>
    </w:lvl>
  </w:abstractNum>
  <w:abstractNum w:abstractNumId="27">
    <w:lvl w:ilvl="0">
      <w:start w:val="1"/>
      <w:numFmt w:val="upperLetter"/>
      <w:lvlText w:val="%1."/>
      <w:lvlJc w:val="left"/>
      <w:pPr>
        <w:ind w:left="3619" w:hanging="48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9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7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5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53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1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9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97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59" w:hanging="480"/>
      </w:pPr>
      <w:rPr>
        <w:rFonts w:cs="Times New Roman"/>
      </w:rPr>
    </w:lvl>
  </w:abstractNum>
  <w:abstractNum w:abstractNumId="28">
    <w:lvl w:ilvl="0">
      <w:start w:val="1"/>
      <w:numFmt w:val="lowerLetter"/>
      <w:lvlText w:val="%1."/>
      <w:lvlJc w:val="left"/>
      <w:pPr>
        <w:ind w:left="3619" w:hanging="48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9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7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5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53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1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9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97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59" w:hanging="480"/>
      </w:pPr>
      <w:rPr>
        <w:rFonts w:cs="Times New Roman"/>
      </w:rPr>
    </w:lvl>
  </w:abstractNum>
  <w:abstractNum w:abstractNumId="29">
    <w:lvl w:ilvl="0">
      <w:start w:val="1"/>
      <w:numFmt w:val="upperLetter"/>
      <w:lvlText w:val="%1."/>
      <w:lvlJc w:val="left"/>
      <w:pPr>
        <w:ind w:left="3174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365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3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1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09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7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5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53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14" w:hanging="480"/>
      </w:pPr>
      <w:rPr>
        <w:rFonts w:cs="Times New Roman"/>
      </w:rPr>
    </w:lvl>
  </w:abstractNum>
  <w:abstractNum w:abstractNumId="30">
    <w:lvl w:ilvl="0">
      <w:start w:val="1"/>
      <w:numFmt w:val="upperLetter"/>
      <w:lvlText w:val="%1."/>
      <w:lvlJc w:val="left"/>
      <w:pPr>
        <w:ind w:left="5159" w:hanging="480"/>
      </w:pPr>
      <w:rPr>
        <w:sz w:val="28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563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11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59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707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55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03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851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999" w:hanging="480"/>
      </w:pPr>
      <w:rPr>
        <w:rFonts w:cs="Times New Roman"/>
      </w:rPr>
    </w:lvl>
  </w:abstractNum>
  <w:abstractNum w:abstractNumId="31">
    <w:lvl w:ilvl="0">
      <w:start w:val="1"/>
      <w:numFmt w:val="lowerLetter"/>
      <w:lvlText w:val="%1."/>
      <w:lvlJc w:val="left"/>
      <w:pPr>
        <w:ind w:left="3619" w:hanging="48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9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7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5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553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1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9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97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59" w:hanging="480"/>
      </w:pPr>
      <w:rPr>
        <w:rFonts w:cs="Times New Roman"/>
      </w:rPr>
    </w:lvl>
  </w:abstractNum>
  <w:abstractNum w:abstractNumId="32">
    <w:lvl w:ilvl="0">
      <w:start w:val="1"/>
      <w:numFmt w:val="upperLetter"/>
      <w:lvlText w:val="%1."/>
      <w:lvlJc w:val="left"/>
      <w:pPr>
        <w:ind w:left="2607" w:hanging="480"/>
      </w:pPr>
      <w:rPr>
        <w:sz w:val="28"/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308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6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4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52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0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8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96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47" w:hanging="480"/>
      </w:pPr>
      <w:rPr>
        <w:rFonts w:cs="Times New Roman"/>
      </w:rPr>
    </w:lvl>
  </w:abstractNum>
  <w:abstractNum w:abstractNumId="3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sz w:val="24"/>
      <w:szCs w:val="24"/>
      <w:lang w:val="en-US" w:eastAsia="zh-TW" w:bidi="hi-IN"/>
    </w:rPr>
  </w:style>
  <w:style w:type="character" w:styleId="Style14">
    <w:name w:val="編號字元"/>
    <w:qFormat/>
    <w:rPr/>
  </w:style>
  <w:style w:type="character" w:styleId="Style15">
    <w:name w:val="項目符號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ascii="Times New Roman" w:hAnsi="Times New Roman" w:cs="Times New Roman"/>
      <w:sz w:val="28"/>
    </w:rPr>
  </w:style>
  <w:style w:type="character" w:styleId="ListLabel3">
    <w:name w:val="ListLabel 3"/>
    <w:qFormat/>
    <w:rPr>
      <w:rFonts w:ascii="Times New Roman" w:hAnsi="Times New Roman" w:cs="Times New Roman"/>
      <w:sz w:val="28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sz w:val="28"/>
    </w:rPr>
  </w:style>
  <w:style w:type="character" w:styleId="ListLabel38">
    <w:name w:val="ListLabel 38"/>
    <w:qFormat/>
    <w:rPr>
      <w:rFonts w:cs="新細明體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cs="Times New Roman"/>
      <w:sz w:val="28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Times New Roman" w:hAnsi="Times New Roman" w:cs="Times New Roman"/>
      <w:sz w:val="28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imes New Roman" w:hAnsi="Times New Roman" w:cs="Times New Roman"/>
      <w:sz w:val="2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cs="Times New Roman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sz w:val="28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sz w:val="28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sz w:val="28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sz w:val="28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sz w:val="28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sz w:val="28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sz w:val="28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sz w:val="28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sz w:val="28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sz w:val="28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sz w:val="28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sz w:val="28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sz w:val="28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sz w:val="28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sz w:val="28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sz w:val="28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sz w:val="28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sz w:val="28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sz w:val="28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ascii="Times New Roman" w:hAnsi="Times New Roman" w:cs="Times New Roman"/>
      <w:sz w:val="28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sz w:val="28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ascii="Times New Roman" w:hAnsi="Times New Roman" w:cs="Times New Roman"/>
      <w:sz w:val="28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標楷體" w:hAnsi="標楷體" w:cs="Times New Roman"/>
      <w:sz w:val="28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新細明體" w:cs="Calibri"/>
      <w:color w:val="auto"/>
      <w:sz w:val="24"/>
      <w:szCs w:val="22"/>
      <w:lang w:val="en-US" w:eastAsia="zh-TW" w:bidi="ar-SA"/>
    </w:rPr>
  </w:style>
  <w:style w:type="paragraph" w:styleId="ListParagraph">
    <w:name w:val="List Paragraph"/>
    <w:basedOn w:val="Normal"/>
    <w:qFormat/>
    <w:pPr>
      <w:ind w:left="48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1241</TotalTime>
  <Application>LibreOffice/5.3.7.2$Windows_X86_64 LibreOffice_project/6b8ed514a9f8b44d37a1b96673cbbdd077e24059</Application>
  <Pages>9</Pages>
  <Words>4251</Words>
  <Characters>4382</Characters>
  <CharactersWithSpaces>4387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2017-07-13T12:13:51Z</dcterms:created>
  <dc:creator/>
  <dc:description/>
  <dc:language>zh-TW</dc:language>
  <cp:lastModifiedBy/>
  <cp:lastPrinted>2020-10-27T15:32:32Z</cp:lastPrinted>
  <dcterms:modified xsi:type="dcterms:W3CDTF">2020-11-10T14:51:54Z</dcterms:modified>
  <cp:revision>26</cp:revision>
  <dc:subject/>
  <dc:title/>
</cp:coreProperties>
</file>