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7" w:rsidRDefault="00766763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bookmarkStart w:id="0" w:name="_GoBack"/>
      <w:r>
        <w:rPr>
          <w:rFonts w:hint="eastAsia"/>
          <w:b/>
          <w:sz w:val="36"/>
          <w:szCs w:val="36"/>
        </w:rPr>
        <w:t>修正</w:t>
      </w:r>
      <w:r w:rsidR="008E27D0" w:rsidRPr="007E304F">
        <w:rPr>
          <w:rFonts w:hint="eastAsia"/>
          <w:b/>
          <w:sz w:val="36"/>
          <w:szCs w:val="36"/>
        </w:rPr>
        <w:t>中央公教人員急難貸款實施要點</w:t>
      </w:r>
      <w:r w:rsidR="0067291E">
        <w:rPr>
          <w:rFonts w:hint="eastAsia"/>
          <w:szCs w:val="24"/>
        </w:rPr>
        <w:t xml:space="preserve"> </w:t>
      </w:r>
      <w:bookmarkEnd w:id="0"/>
      <w:r w:rsidR="0067291E">
        <w:rPr>
          <w:rFonts w:hint="eastAsia"/>
          <w:szCs w:val="24"/>
        </w:rPr>
        <w:t xml:space="preserve"> </w:t>
      </w:r>
    </w:p>
    <w:p w:rsidR="00194566" w:rsidRDefault="0067291E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7811A7">
        <w:rPr>
          <w:rFonts w:hint="eastAsia"/>
          <w:szCs w:val="24"/>
        </w:rPr>
        <w:t>行政院</w:t>
      </w:r>
      <w:r w:rsidR="007811A7">
        <w:rPr>
          <w:rFonts w:hint="eastAsia"/>
          <w:szCs w:val="24"/>
        </w:rPr>
        <w:t>103</w:t>
      </w:r>
      <w:r w:rsidR="007811A7">
        <w:rPr>
          <w:rFonts w:hint="eastAsia"/>
          <w:szCs w:val="24"/>
        </w:rPr>
        <w:t>年</w:t>
      </w:r>
      <w:r w:rsidR="007811A7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月</w:t>
      </w:r>
      <w:r w:rsidR="00AF1742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日院授人給字第</w:t>
      </w:r>
      <w:r w:rsidR="00AF1742">
        <w:rPr>
          <w:rFonts w:hint="eastAsia"/>
          <w:szCs w:val="24"/>
        </w:rPr>
        <w:t>1030053022</w:t>
      </w:r>
      <w:r w:rsidR="007811A7">
        <w:rPr>
          <w:rFonts w:hint="eastAsia"/>
          <w:szCs w:val="24"/>
        </w:rPr>
        <w:t>號函修正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8E27D0">
      <w:pPr>
        <w:spacing w:line="480" w:lineRule="exact"/>
        <w:ind w:firstLineChars="200" w:firstLine="56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9172A6">
      <w:pPr>
        <w:spacing w:line="480" w:lineRule="exact"/>
        <w:ind w:firstLineChars="430" w:firstLine="1204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傷病住院貸款：每一員工最高新臺幣六十萬元。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疾病醫護貸款：每一員工最高新臺幣六十萬元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喪葬貸款：每一員工最高新臺幣五十萬元</w:t>
      </w:r>
      <w:r w:rsidR="008E27D0">
        <w:rPr>
          <w:rFonts w:hint="eastAsia"/>
          <w:sz w:val="28"/>
          <w:szCs w:val="28"/>
        </w:rPr>
        <w:t>。</w:t>
      </w:r>
    </w:p>
    <w:p w:rsidR="008E27D0" w:rsidRPr="00E12B58" w:rsidRDefault="009172A6" w:rsidP="009172A6">
      <w:pPr>
        <w:spacing w:line="480" w:lineRule="exact"/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災害貸款：每一員工最高新臺幣六十萬元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係指按月支領之薪俸、技術或專業加給或學術研究費及主管職務加給之總額)二分之一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763F9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832477">
        <w:rPr>
          <w:rFonts w:ascii="標楷體" w:hint="eastAsia"/>
          <w:sz w:val="28"/>
          <w:szCs w:val="28"/>
        </w:rPr>
        <w:t>傷病住院貸款：公教員工本人、配偶或公教員工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>
        <w:rPr>
          <w:rFonts w:ascii="標楷體" w:hint="eastAsia"/>
          <w:sz w:val="28"/>
          <w:szCs w:val="28"/>
        </w:rPr>
        <w:t>之</w:t>
      </w:r>
      <w:r w:rsidRPr="00832477">
        <w:rPr>
          <w:rFonts w:ascii="標楷體" w:hint="eastAsia"/>
          <w:sz w:val="28"/>
          <w:szCs w:val="28"/>
        </w:rPr>
        <w:t>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親因傷病住院醫療</w:t>
      </w:r>
      <w:r w:rsidR="00766763" w:rsidRPr="00766763">
        <w:rPr>
          <w:rFonts w:ascii="標楷體" w:hAnsi="標楷體" w:hint="eastAsia"/>
          <w:sz w:val="28"/>
          <w:szCs w:val="28"/>
        </w:rPr>
        <w:t>（含各年齡層各類傷病住院）</w:t>
      </w:r>
      <w:r w:rsidRPr="00832477">
        <w:rPr>
          <w:rFonts w:ascii="標楷體" w:hint="eastAsia"/>
          <w:sz w:val="28"/>
          <w:szCs w:val="28"/>
        </w:rPr>
        <w:t>，經醫院出具住院證明及自付醫療、照護費用證明者。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832477">
        <w:rPr>
          <w:rFonts w:ascii="標楷體" w:hint="eastAsia"/>
          <w:sz w:val="28"/>
          <w:szCs w:val="28"/>
        </w:rPr>
        <w:t>疾病醫護貸款：公教員工本人、配偶或公教員工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 w:rsidRPr="00832477">
        <w:rPr>
          <w:rFonts w:ascii="標楷體" w:hint="eastAsia"/>
          <w:sz w:val="28"/>
          <w:szCs w:val="28"/>
        </w:rPr>
        <w:t>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親因疾病，無住院事實，</w:t>
      </w:r>
      <w:r>
        <w:rPr>
          <w:rFonts w:ascii="標楷體" w:hint="eastAsia"/>
          <w:sz w:val="28"/>
          <w:szCs w:val="28"/>
        </w:rPr>
        <w:t>而</w:t>
      </w:r>
      <w:r w:rsidRPr="00832477">
        <w:rPr>
          <w:rFonts w:ascii="標楷體" w:hint="eastAsia"/>
          <w:sz w:val="28"/>
          <w:szCs w:val="28"/>
        </w:rPr>
        <w:t>需長期治療、照護</w:t>
      </w:r>
      <w:r w:rsidR="00766763" w:rsidRPr="00766763">
        <w:rPr>
          <w:rFonts w:ascii="標楷體" w:hAnsi="標楷體" w:hint="eastAsia"/>
          <w:sz w:val="28"/>
          <w:szCs w:val="28"/>
        </w:rPr>
        <w:t>（含不孕症治療、因病托老安養照護等）</w:t>
      </w:r>
      <w:r w:rsidRPr="00832477">
        <w:rPr>
          <w:rFonts w:ascii="標楷體" w:hint="eastAsia"/>
          <w:sz w:val="28"/>
          <w:szCs w:val="28"/>
        </w:rPr>
        <w:t>，經醫院出具診斷證明及自付醫療、照護費用證明者。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832477">
        <w:rPr>
          <w:rFonts w:ascii="標楷體" w:hint="eastAsia"/>
          <w:sz w:val="28"/>
          <w:szCs w:val="28"/>
        </w:rPr>
        <w:t>喪葬貸款：公教員工之直系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親、配偶或配偶之直系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</w:t>
      </w:r>
      <w:r w:rsidRPr="003122B2">
        <w:rPr>
          <w:rFonts w:ascii="標楷體" w:hint="eastAsia"/>
          <w:sz w:val="28"/>
          <w:szCs w:val="28"/>
        </w:rPr>
        <w:t>死亡</w:t>
      </w:r>
      <w:r w:rsidRPr="005747F3">
        <w:rPr>
          <w:rFonts w:ascii="標楷體" w:hint="eastAsia"/>
          <w:sz w:val="28"/>
          <w:szCs w:val="28"/>
        </w:rPr>
        <w:t>，經附繳死亡證明者。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</w:t>
      </w:r>
      <w:r w:rsidRPr="007E304F">
        <w:rPr>
          <w:rFonts w:hint="eastAsia"/>
          <w:sz w:val="28"/>
          <w:szCs w:val="28"/>
        </w:rPr>
        <w:t>災害</w:t>
      </w:r>
      <w:r>
        <w:rPr>
          <w:rFonts w:hint="eastAsia"/>
          <w:sz w:val="28"/>
          <w:szCs w:val="28"/>
        </w:rPr>
        <w:t>貸款</w:t>
      </w:r>
      <w:r w:rsidRPr="007E304F">
        <w:rPr>
          <w:rFonts w:hint="eastAsia"/>
          <w:sz w:val="28"/>
          <w:szCs w:val="28"/>
        </w:rPr>
        <w:t>：</w:t>
      </w:r>
      <w:r w:rsidR="00766763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8E27D0" w:rsidRDefault="008E27D0" w:rsidP="008E27D0">
      <w:pPr>
        <w:spacing w:line="480" w:lineRule="exact"/>
        <w:ind w:leftChars="225" w:left="540" w:firstLineChars="192" w:firstLine="538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前項關於申請傷病住院貸款或疾病醫</w:t>
      </w:r>
      <w:r>
        <w:rPr>
          <w:rFonts w:ascii="標楷體" w:hint="eastAsia"/>
          <w:sz w:val="28"/>
          <w:szCs w:val="28"/>
        </w:rPr>
        <w:t>護</w:t>
      </w:r>
      <w:r w:rsidRPr="006F2DF9">
        <w:rPr>
          <w:rFonts w:ascii="標楷體" w:hint="eastAsia"/>
          <w:sz w:val="28"/>
          <w:szCs w:val="28"/>
        </w:rPr>
        <w:t>貸款，自付醫療、照護費用在新臺幣一萬元以上者，得申貸各該項貸款最高限額</w:t>
      </w:r>
      <w:r>
        <w:rPr>
          <w:rFonts w:ascii="標楷體" w:hint="eastAsia"/>
          <w:sz w:val="28"/>
          <w:szCs w:val="28"/>
        </w:rPr>
        <w:t>；</w:t>
      </w:r>
      <w:r w:rsidRPr="006F2DF9">
        <w:rPr>
          <w:rFonts w:ascii="標楷體" w:hint="eastAsia"/>
          <w:sz w:val="28"/>
          <w:szCs w:val="28"/>
        </w:rPr>
        <w:t>自付醫療、照護費用未達新臺幣一萬元者，最高得申貸新臺幣</w:t>
      </w:r>
      <w:r>
        <w:rPr>
          <w:rFonts w:ascii="標楷體" w:hint="eastAsia"/>
          <w:sz w:val="28"/>
          <w:szCs w:val="28"/>
        </w:rPr>
        <w:t>三十</w:t>
      </w:r>
      <w:r w:rsidRPr="006F2DF9">
        <w:rPr>
          <w:rFonts w:ascii="標楷體" w:hint="eastAsia"/>
          <w:sz w:val="28"/>
          <w:szCs w:val="28"/>
        </w:rPr>
        <w:t>萬元。</w:t>
      </w:r>
    </w:p>
    <w:p w:rsidR="00766763" w:rsidRPr="00766763" w:rsidRDefault="00766763" w:rsidP="00766763">
      <w:pPr>
        <w:spacing w:line="480" w:lineRule="exact"/>
        <w:ind w:leftChars="225" w:left="540" w:firstLineChars="192" w:firstLine="538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第一項第四款災害貸款之屋內物品毀損必須購置者，購置費用在新臺幣一萬元以上者始得申貸，申貸金額以購置費用二倍為上限，且不得超過該項貸款最高限額。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3D0A0B">
      <w:pPr>
        <w:spacing w:line="520" w:lineRule="exact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3D0A0B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申請人應覓具一名公教員工為保證人，並檢附下列文件，於事故發生後三個月內，送請服務機關、學校審核屬實後，逕轉行政院人事行政總處（以下簡稱人事總處）申請貸款：</w:t>
      </w:r>
    </w:p>
    <w:p w:rsidR="003D0A0B" w:rsidRPr="003D0A0B" w:rsidRDefault="003D0A0B" w:rsidP="00B073F3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１、申請表一式三份(格式如附件)，一份自存，二份送人事總處。</w:t>
      </w:r>
    </w:p>
    <w:p w:rsidR="003D0A0B" w:rsidRPr="003D0A0B" w:rsidRDefault="003D0A0B" w:rsidP="003E185C">
      <w:pPr>
        <w:tabs>
          <w:tab w:val="left" w:pos="1418"/>
        </w:tabs>
        <w:spacing w:line="520" w:lineRule="exact"/>
        <w:ind w:leftChars="531" w:left="1840" w:hangingChars="202" w:hanging="566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２、第四點所定申貸條件之證明文件</w:t>
      </w:r>
      <w:r w:rsidR="003E185C">
        <w:rPr>
          <w:rFonts w:ascii="標楷體" w:hAnsi="標楷體" w:hint="eastAsia"/>
          <w:sz w:val="28"/>
          <w:szCs w:val="28"/>
        </w:rPr>
        <w:t>及審核所需之相關證明文件</w:t>
      </w:r>
      <w:r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3D0A0B">
      <w:pPr>
        <w:tabs>
          <w:tab w:val="left" w:pos="555"/>
          <w:tab w:val="left" w:pos="1064"/>
        </w:tabs>
        <w:spacing w:line="520" w:lineRule="exact"/>
        <w:ind w:leftChars="523" w:left="1812" w:hangingChars="199" w:hanging="557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3D0A0B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3D0A0B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3D0A0B">
      <w:pPr>
        <w:spacing w:line="460" w:lineRule="exact"/>
        <w:ind w:leftChars="250" w:left="1440" w:hangingChars="300" w:hanging="840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</w:t>
      </w:r>
      <w:r w:rsidRPr="003D0A0B">
        <w:rPr>
          <w:rFonts w:ascii="標楷體" w:hAnsi="標楷體" w:hint="eastAsia"/>
          <w:sz w:val="28"/>
          <w:szCs w:val="28"/>
        </w:rPr>
        <w:lastRenderedPageBreak/>
        <w:t>於各項證明文件影本加蓋與正本相符章，如有虛偽不實情事者，除由服務機關、學校負責追回外，當事人應予議處。</w:t>
      </w:r>
    </w:p>
    <w:p w:rsidR="00B073F3" w:rsidRPr="00B073F3" w:rsidRDefault="00B073F3" w:rsidP="00C36A46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C36A46">
      <w:pPr>
        <w:spacing w:line="520" w:lineRule="exact"/>
        <w:ind w:leftChars="236" w:left="838" w:hangingChars="97" w:hanging="27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C36A46">
      <w:pPr>
        <w:tabs>
          <w:tab w:val="left" w:pos="546"/>
        </w:tabs>
        <w:spacing w:line="520" w:lineRule="exact"/>
        <w:ind w:leftChars="234" w:left="1458" w:hangingChars="320" w:hanging="89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‧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二五厘計算機動調整。</w:t>
      </w:r>
    </w:p>
    <w:p w:rsidR="00B073F3" w:rsidRPr="00B073F3" w:rsidRDefault="00B073F3" w:rsidP="00C36A46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C36A46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</w:p>
    <w:p w:rsidR="00B073F3" w:rsidRPr="00B073F3" w:rsidRDefault="00C36A46" w:rsidP="00C36A46">
      <w:pPr>
        <w:spacing w:line="520" w:lineRule="exact"/>
        <w:ind w:leftChars="467" w:left="1563" w:hangingChars="158" w:hanging="4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C36A46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、貸款人離職（包括退休、資遣、免職、撤職、辭職等）時，應於離職前向離職時之服務機關、學校一次繳清餘款，再由服務機關、學校向指定貸款銀行繳付。</w:t>
      </w:r>
    </w:p>
    <w:p w:rsidR="00B073F3" w:rsidRPr="00B073F3" w:rsidRDefault="00C36A46" w:rsidP="00C36A46">
      <w:pPr>
        <w:spacing w:line="520" w:lineRule="exact"/>
        <w:ind w:leftChars="466" w:left="1636" w:hangingChars="185" w:hanging="51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Pr="00B073F3" w:rsidRDefault="00B073F3" w:rsidP="00C36A46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FE4A0F" w:rsidRPr="00FE4A0F" w:rsidRDefault="00FE4A0F" w:rsidP="00FE4A0F">
      <w:pPr>
        <w:spacing w:line="520" w:lineRule="exact"/>
        <w:rPr>
          <w:rFonts w:asci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七、貸款資金：</w:t>
      </w:r>
    </w:p>
    <w:p w:rsidR="008E27D0" w:rsidRDefault="00FE4A0F" w:rsidP="004C09FB">
      <w:pPr>
        <w:spacing w:line="480" w:lineRule="exact"/>
        <w:ind w:leftChars="236" w:left="566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p w:rsidR="005C2BC2" w:rsidRDefault="00EF77A8" w:rsidP="008E27D0"/>
    <w:sectPr w:rsidR="005C2BC2" w:rsidSect="00A015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A8" w:rsidRDefault="00EF77A8" w:rsidP="003D0A0B">
      <w:r>
        <w:separator/>
      </w:r>
    </w:p>
  </w:endnote>
  <w:endnote w:type="continuationSeparator" w:id="0">
    <w:p w:rsidR="00EF77A8" w:rsidRDefault="00EF77A8" w:rsidP="003D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A8" w:rsidRDefault="00EF77A8" w:rsidP="003D0A0B">
      <w:r>
        <w:separator/>
      </w:r>
    </w:p>
  </w:footnote>
  <w:footnote w:type="continuationSeparator" w:id="0">
    <w:p w:rsidR="00EF77A8" w:rsidRDefault="00EF77A8" w:rsidP="003D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7D0"/>
    <w:rsid w:val="00161AA1"/>
    <w:rsid w:val="00192578"/>
    <w:rsid w:val="00194566"/>
    <w:rsid w:val="00256EEB"/>
    <w:rsid w:val="002E62A9"/>
    <w:rsid w:val="003449A9"/>
    <w:rsid w:val="003D0A0B"/>
    <w:rsid w:val="003E185C"/>
    <w:rsid w:val="004C09FB"/>
    <w:rsid w:val="0056050A"/>
    <w:rsid w:val="005B73A2"/>
    <w:rsid w:val="0062579B"/>
    <w:rsid w:val="0067291E"/>
    <w:rsid w:val="006E0540"/>
    <w:rsid w:val="00763F9A"/>
    <w:rsid w:val="00766763"/>
    <w:rsid w:val="007811A7"/>
    <w:rsid w:val="008622AE"/>
    <w:rsid w:val="008E27D0"/>
    <w:rsid w:val="009172A6"/>
    <w:rsid w:val="009C4B59"/>
    <w:rsid w:val="009E507C"/>
    <w:rsid w:val="00A01517"/>
    <w:rsid w:val="00A27C4C"/>
    <w:rsid w:val="00A86C5E"/>
    <w:rsid w:val="00A963B6"/>
    <w:rsid w:val="00AB7949"/>
    <w:rsid w:val="00AF1742"/>
    <w:rsid w:val="00AF769B"/>
    <w:rsid w:val="00B073F3"/>
    <w:rsid w:val="00C1342B"/>
    <w:rsid w:val="00C36A46"/>
    <w:rsid w:val="00C8189C"/>
    <w:rsid w:val="00CB5EC2"/>
    <w:rsid w:val="00CC3576"/>
    <w:rsid w:val="00CC39DF"/>
    <w:rsid w:val="00D019A3"/>
    <w:rsid w:val="00D263DF"/>
    <w:rsid w:val="00D420E4"/>
    <w:rsid w:val="00D70B29"/>
    <w:rsid w:val="00DA7C3C"/>
    <w:rsid w:val="00EF77A8"/>
    <w:rsid w:val="00F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User03</cp:lastModifiedBy>
  <cp:revision>2</cp:revision>
  <cp:lastPrinted>2014-10-20T09:58:00Z</cp:lastPrinted>
  <dcterms:created xsi:type="dcterms:W3CDTF">2014-11-17T02:56:00Z</dcterms:created>
  <dcterms:modified xsi:type="dcterms:W3CDTF">2014-11-17T02:56:00Z</dcterms:modified>
</cp:coreProperties>
</file>