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全國各區酷英種子教師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英語線上學習平臺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提供全國各區酷英種子教師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平臺</w:t>
      </w:r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臺中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國立彰化師範大學進德校區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  <w:t>圖資大樓5樓電一教室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21(一)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國立宜蘭大學圖資大樓1樓電腦教室5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國立中山大學圖資大樓B1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28(一)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75309教室(臺南市東區大學路1號)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r w:rsidR="001C3BC0">
        <w:rPr>
          <w:rFonts w:ascii="標楷體" w:eastAsia="標楷體" w:hAnsi="標楷體" w:hint="eastAsia"/>
          <w:sz w:val="28"/>
          <w:szCs w:val="28"/>
        </w:rPr>
        <w:t>英語線上學習平臺</w:t>
      </w:r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報名過本平臺辦理之說明會及種子教師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可選擇於自己或鄰近服務學校進行平臺宣導試講，並於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種子教師培訓工作坊第一梯次(臺北場)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參與工作坊當日請所屬機關/學校核予公(差)假登記。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10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1"/>
      <w:footerReference w:type="default" r:id="rId12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B2" w:rsidRDefault="00D323B2">
      <w:r>
        <w:separator/>
      </w:r>
    </w:p>
  </w:endnote>
  <w:endnote w:type="continuationSeparator" w:id="0">
    <w:p w:rsidR="00D323B2" w:rsidRDefault="00D3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B2" w:rsidRDefault="00D323B2">
      <w:r>
        <w:separator/>
      </w:r>
    </w:p>
  </w:footnote>
  <w:footnote w:type="continuationSeparator" w:id="0">
    <w:p w:rsidR="00D323B2" w:rsidRDefault="00D32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82F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3B2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5012-EE88-49D4-92FF-0D2C24D9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2018-04-17T07:02:00Z</cp:lastPrinted>
  <dcterms:created xsi:type="dcterms:W3CDTF">2018-05-07T03:54:00Z</dcterms:created>
  <dcterms:modified xsi:type="dcterms:W3CDTF">2018-05-07T03:54:00Z</dcterms:modified>
</cp:coreProperties>
</file>