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A0" w:rsidRDefault="003D5D10">
      <w:pPr>
        <w:pStyle w:val="2"/>
        <w:jc w:val="center"/>
      </w:pPr>
      <w:bookmarkStart w:id="0" w:name="_Toc458150899"/>
      <w:r>
        <w:rPr>
          <w:noProof/>
        </w:rPr>
        <mc:AlternateContent>
          <mc:Choice Requires="wps">
            <w:drawing>
              <wp:anchor distT="0" distB="0" distL="114300" distR="114300" simplePos="0" relativeHeight="251658240" behindDoc="0" locked="0" layoutInCell="1" allowOverlap="1">
                <wp:simplePos x="0" y="0"/>
                <wp:positionH relativeFrom="column">
                  <wp:posOffset>6109200</wp:posOffset>
                </wp:positionH>
                <wp:positionV relativeFrom="paragraph">
                  <wp:posOffset>-56520</wp:posOffset>
                </wp:positionV>
                <wp:extent cx="694800" cy="357480"/>
                <wp:effectExtent l="0" t="0" r="10050" b="23520"/>
                <wp:wrapNone/>
                <wp:docPr id="1" name=""/>
                <wp:cNvGraphicFramePr/>
                <a:graphic xmlns:a="http://schemas.openxmlformats.org/drawingml/2006/main">
                  <a:graphicData uri="http://schemas.microsoft.com/office/word/2010/wordprocessingShape">
                    <wps:wsp>
                      <wps:cNvSpPr txBox="1"/>
                      <wps:spPr>
                        <a:xfrm>
                          <a:off x="0" y="0"/>
                          <a:ext cx="694800" cy="357480"/>
                        </a:xfrm>
                        <a:prstGeom prst="rect">
                          <a:avLst/>
                        </a:prstGeom>
                        <a:solidFill>
                          <a:srgbClr val="FFFFFF"/>
                        </a:solidFill>
                        <a:ln w="25526">
                          <a:solidFill>
                            <a:srgbClr val="000000"/>
                          </a:solidFill>
                          <a:prstDash val="solid"/>
                        </a:ln>
                      </wps:spPr>
                      <wps:txbx>
                        <w:txbxContent>
                          <w:p w:rsidR="002701A0" w:rsidRDefault="003D5D10">
                            <w:pPr>
                              <w:pStyle w:val="Framecontents"/>
                            </w:pPr>
                            <w:r>
                              <w:rPr>
                                <w:rFonts w:ascii="標楷體" w:eastAsia="標楷體" w:hAnsi="標楷體"/>
                              </w:rPr>
                              <w:t>附件</w:t>
                            </w:r>
                            <w:r>
                              <w:rPr>
                                <w:rFonts w:ascii="標楷體" w:eastAsia="標楷體" w:hAnsi="標楷體"/>
                              </w:rPr>
                              <w:t>3</w:t>
                            </w:r>
                          </w:p>
                        </w:txbxContent>
                      </wps:txbx>
                      <wps:bodyPr wrap="none" lIns="91440" tIns="45720" rIns="91440" bIns="4572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026" type="#_x0000_t202" style="position:absolute;left:0;text-align:left;margin-left:481.05pt;margin-top:-4.45pt;width:54.7pt;height:28.1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" strokeweight=".70906mm">
                <v:textbox>
                  <w:txbxContent>
                    <w:p w:rsidR="002701A0" w:rsidRDefault="003D5D10">
                      <w:pPr>
                        <w:pStyle w:val="Framecontents"/>
                      </w:pPr>
                      <w:r>
                        <w:rPr>
                          <w:rFonts w:ascii="標楷體" w:eastAsia="標楷體" w:hAnsi="標楷體"/>
                        </w:rPr>
                        <w:t>附件</w:t>
                      </w:r>
                      <w:r>
                        <w:rPr>
                          <w:rFonts w:ascii="標楷體" w:eastAsia="標楷體" w:hAnsi="標楷體"/>
                        </w:rPr>
                        <w:t>3</w:t>
                      </w:r>
                    </w:p>
                  </w:txbxContent>
                </v:textbox>
              </v:shape>
            </w:pict>
          </mc:Fallback>
        </mc:AlternateContent>
      </w:r>
      <w:r>
        <w:rPr>
          <w:rFonts w:ascii="Times New Roman" w:hAnsi="Times New Roman"/>
          <w:bCs w:val="0"/>
          <w:sz w:val="32"/>
          <w:szCs w:val="32"/>
        </w:rPr>
        <w:t>臺南</w:t>
      </w:r>
      <w:r>
        <w:rPr>
          <w:rFonts w:ascii="Times New Roman" w:hAnsi="Times New Roman"/>
          <w:bCs w:val="0"/>
          <w:color w:val="000000"/>
          <w:sz w:val="32"/>
          <w:szCs w:val="32"/>
        </w:rPr>
        <w:t>市</w:t>
      </w:r>
      <w:r>
        <w:rPr>
          <w:rFonts w:ascii="Times New Roman" w:hAnsi="Times New Roman"/>
          <w:bCs w:val="0"/>
          <w:color w:val="000000"/>
          <w:sz w:val="32"/>
          <w:szCs w:val="32"/>
        </w:rPr>
        <w:t>110</w:t>
      </w:r>
      <w:r>
        <w:rPr>
          <w:rFonts w:ascii="Times New Roman" w:hAnsi="Times New Roman"/>
          <w:bCs w:val="0"/>
          <w:color w:val="000000"/>
          <w:sz w:val="32"/>
          <w:szCs w:val="32"/>
        </w:rPr>
        <w:t>年</w:t>
      </w:r>
      <w:r>
        <w:rPr>
          <w:rFonts w:ascii="Times New Roman" w:hAnsi="Times New Roman"/>
          <w:bCs w:val="0"/>
          <w:sz w:val="32"/>
          <w:szCs w:val="32"/>
        </w:rPr>
        <w:t>度國民中小學主任甄選儲訓英檢計分對照表</w:t>
      </w:r>
      <w:bookmarkEnd w:id="0"/>
    </w:p>
    <w:tbl>
      <w:tblPr>
        <w:tblW w:w="11177" w:type="dxa"/>
        <w:jc w:val="center"/>
        <w:tblLayout w:type="fixed"/>
        <w:tblCellMar>
          <w:left w:w="10" w:type="dxa"/>
          <w:right w:w="10" w:type="dxa"/>
        </w:tblCellMar>
        <w:tblLook w:val="0000" w:firstRow="0" w:lastRow="0" w:firstColumn="0" w:lastColumn="0" w:noHBand="0" w:noVBand="0"/>
      </w:tblPr>
      <w:tblGrid>
        <w:gridCol w:w="1631"/>
        <w:gridCol w:w="568"/>
        <w:gridCol w:w="757"/>
        <w:gridCol w:w="1662"/>
        <w:gridCol w:w="1587"/>
        <w:gridCol w:w="1586"/>
        <w:gridCol w:w="1739"/>
        <w:gridCol w:w="1647"/>
      </w:tblGrid>
      <w:tr w:rsidR="002701A0">
        <w:tblPrEx>
          <w:tblCellMar>
            <w:top w:w="0" w:type="dxa"/>
            <w:bottom w:w="0" w:type="dxa"/>
          </w:tblCellMar>
        </w:tblPrEx>
        <w:trPr>
          <w:trHeight w:val="565"/>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測驗名稱</w:t>
            </w:r>
          </w:p>
        </w:tc>
        <w:tc>
          <w:tcPr>
            <w:tcW w:w="8221" w:type="dxa"/>
            <w:gridSpan w:val="5"/>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等</w:t>
            </w:r>
            <w:r>
              <w:rPr>
                <w:kern w:val="0"/>
              </w:rPr>
              <w:t xml:space="preserve">    </w:t>
            </w:r>
            <w:r>
              <w:rPr>
                <w:kern w:val="0"/>
              </w:rPr>
              <w:t>級</w:t>
            </w:r>
          </w:p>
        </w:tc>
      </w:tr>
      <w:tr w:rsidR="002701A0">
        <w:tblPrEx>
          <w:tblCellMar>
            <w:top w:w="0" w:type="dxa"/>
            <w:bottom w:w="0" w:type="dxa"/>
          </w:tblCellMar>
        </w:tblPrEx>
        <w:trPr>
          <w:trHeight w:val="1031"/>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劍橋大學英語能力認證分級測驗</w:t>
            </w:r>
            <w:r>
              <w:rPr>
                <w:kern w:val="0"/>
              </w:rPr>
              <w:t>(Cambridge Main  Suite)</w:t>
            </w:r>
          </w:p>
        </w:tc>
        <w:tc>
          <w:tcPr>
            <w:tcW w:w="16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Key English Test (KET)</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Preliminary English Test (PET)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First Certificate in English (FCE)</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Certificate in Advanced English (CAE)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Certificate of Proficiency in English (CPE)</w:t>
            </w:r>
          </w:p>
        </w:tc>
      </w:tr>
      <w:tr w:rsidR="002701A0">
        <w:tblPrEx>
          <w:tblCellMar>
            <w:top w:w="0" w:type="dxa"/>
            <w:bottom w:w="0" w:type="dxa"/>
          </w:tblCellMar>
        </w:tblPrEx>
        <w:trPr>
          <w:trHeight w:val="862"/>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劍橋大學國際商務英語能力測驗</w:t>
            </w:r>
            <w:r>
              <w:rPr>
                <w:kern w:val="0"/>
              </w:rPr>
              <w:t>(BULATS)</w:t>
            </w:r>
          </w:p>
        </w:tc>
        <w:tc>
          <w:tcPr>
            <w:tcW w:w="1662"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ALTE Level 1</w:t>
            </w:r>
          </w:p>
          <w:p w:rsidR="002701A0" w:rsidRDefault="003D5D10">
            <w:pPr>
              <w:pStyle w:val="Standard"/>
              <w:widowControl/>
              <w:jc w:val="center"/>
            </w:pPr>
            <w:r>
              <w:rPr>
                <w:kern w:val="0"/>
              </w:rPr>
              <w:t>（</w:t>
            </w:r>
            <w:r>
              <w:rPr>
                <w:kern w:val="0"/>
              </w:rPr>
              <w:t>20-39</w:t>
            </w:r>
            <w:r>
              <w:rPr>
                <w:kern w:val="0"/>
              </w:rPr>
              <w:t>分）</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ALTE Level 2</w:t>
            </w:r>
          </w:p>
          <w:p w:rsidR="002701A0" w:rsidRDefault="003D5D10">
            <w:pPr>
              <w:pStyle w:val="Standard"/>
              <w:widowControl/>
              <w:jc w:val="center"/>
            </w:pPr>
            <w:r>
              <w:rPr>
                <w:kern w:val="0"/>
              </w:rPr>
              <w:t>（</w:t>
            </w:r>
            <w:r>
              <w:rPr>
                <w:kern w:val="0"/>
              </w:rPr>
              <w:t>40-59</w:t>
            </w:r>
            <w:r>
              <w:rPr>
                <w:kern w:val="0"/>
              </w:rPr>
              <w:t>分）</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ALTE Level 3</w:t>
            </w:r>
          </w:p>
          <w:p w:rsidR="002701A0" w:rsidRDefault="003D5D10">
            <w:pPr>
              <w:pStyle w:val="Standard"/>
              <w:widowControl/>
              <w:jc w:val="center"/>
            </w:pPr>
            <w:r>
              <w:rPr>
                <w:kern w:val="0"/>
              </w:rPr>
              <w:t>（</w:t>
            </w:r>
            <w:r>
              <w:rPr>
                <w:kern w:val="0"/>
              </w:rPr>
              <w:t>60-74</w:t>
            </w:r>
            <w:r>
              <w:rPr>
                <w:kern w:val="0"/>
              </w:rPr>
              <w:t>分）</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ALTE Level 4</w:t>
            </w:r>
          </w:p>
          <w:p w:rsidR="002701A0" w:rsidRDefault="003D5D10">
            <w:pPr>
              <w:pStyle w:val="Standard"/>
              <w:widowControl/>
              <w:jc w:val="center"/>
            </w:pPr>
            <w:r>
              <w:rPr>
                <w:kern w:val="0"/>
              </w:rPr>
              <w:t>（</w:t>
            </w:r>
            <w:r>
              <w:rPr>
                <w:kern w:val="0"/>
              </w:rPr>
              <w:t>75-89</w:t>
            </w:r>
            <w:r>
              <w:rPr>
                <w:kern w:val="0"/>
              </w:rPr>
              <w:t>分）</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ALTE Level 5</w:t>
            </w:r>
          </w:p>
          <w:p w:rsidR="002701A0" w:rsidRDefault="003D5D10">
            <w:pPr>
              <w:pStyle w:val="Standard"/>
              <w:widowControl/>
              <w:jc w:val="center"/>
            </w:pPr>
            <w:r>
              <w:rPr>
                <w:kern w:val="0"/>
              </w:rPr>
              <w:t>（</w:t>
            </w:r>
            <w:r>
              <w:rPr>
                <w:kern w:val="0"/>
              </w:rPr>
              <w:t>90-100</w:t>
            </w:r>
            <w:r>
              <w:rPr>
                <w:kern w:val="0"/>
              </w:rPr>
              <w:t>分）</w:t>
            </w:r>
          </w:p>
        </w:tc>
      </w:tr>
      <w:tr w:rsidR="002701A0">
        <w:tblPrEx>
          <w:tblCellMar>
            <w:top w:w="0" w:type="dxa"/>
            <w:bottom w:w="0" w:type="dxa"/>
          </w:tblCellMar>
        </w:tblPrEx>
        <w:trPr>
          <w:trHeight w:val="567"/>
          <w:jc w:val="center"/>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外語能力測驗</w:t>
            </w:r>
            <w:r>
              <w:rPr>
                <w:kern w:val="0"/>
              </w:rPr>
              <w:t>(FLPT)</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0" w:lineRule="atLeast"/>
              <w:jc w:val="center"/>
            </w:pPr>
            <w:r>
              <w:rPr>
                <w:kern w:val="0"/>
              </w:rPr>
              <w:t>三項筆試</w:t>
            </w:r>
          </w:p>
          <w:p w:rsidR="002701A0" w:rsidRDefault="003D5D10">
            <w:pPr>
              <w:pStyle w:val="Standard"/>
              <w:widowControl/>
              <w:spacing w:line="0" w:lineRule="atLeast"/>
              <w:jc w:val="center"/>
            </w:pPr>
            <w:r>
              <w:rPr>
                <w:kern w:val="0"/>
              </w:rPr>
              <w:t>總分</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150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195</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240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315</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w:t>
            </w:r>
            <w:r>
              <w:rPr>
                <w:kern w:val="0"/>
              </w:rPr>
              <w:t xml:space="preserve"> - -</w:t>
            </w:r>
          </w:p>
        </w:tc>
      </w:tr>
      <w:tr w:rsidR="002701A0">
        <w:tblPrEx>
          <w:tblCellMar>
            <w:top w:w="0" w:type="dxa"/>
            <w:bottom w:w="0" w:type="dxa"/>
          </w:tblCellMar>
        </w:tblPrEx>
        <w:trPr>
          <w:trHeight w:val="567"/>
          <w:jc w:val="center"/>
        </w:trPr>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口試</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S-1+</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S-2</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S-2+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S-3</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r>
      <w:tr w:rsidR="002701A0">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全民英檢</w:t>
            </w:r>
            <w:r>
              <w:rPr>
                <w:kern w:val="0"/>
              </w:rPr>
              <w:t>(GEPT)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初級</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中級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中高級</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高級</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優級</w:t>
            </w:r>
          </w:p>
        </w:tc>
      </w:tr>
      <w:tr w:rsidR="002701A0">
        <w:tblPrEx>
          <w:tblCellMar>
            <w:top w:w="0" w:type="dxa"/>
            <w:bottom w:w="0" w:type="dxa"/>
          </w:tblCellMar>
        </w:tblPrEx>
        <w:trPr>
          <w:trHeight w:val="1193"/>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CEF</w:t>
            </w:r>
            <w:r>
              <w:rPr>
                <w:kern w:val="0"/>
              </w:rPr>
              <w:t>語言能力參考指標</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A2(</w:t>
            </w:r>
            <w:r>
              <w:rPr>
                <w:kern w:val="0"/>
              </w:rPr>
              <w:t>基礎級</w:t>
            </w:r>
            <w:r>
              <w:rPr>
                <w:kern w:val="0"/>
              </w:rPr>
              <w:t>) Waystage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B1(</w:t>
            </w:r>
            <w:r>
              <w:rPr>
                <w:kern w:val="0"/>
              </w:rPr>
              <w:t>進階級</w:t>
            </w:r>
            <w:r>
              <w:rPr>
                <w:kern w:val="0"/>
              </w:rPr>
              <w:t>) Threshold</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B2(</w:t>
            </w:r>
            <w:r>
              <w:rPr>
                <w:kern w:val="0"/>
              </w:rPr>
              <w:t>高階級</w:t>
            </w:r>
            <w:r>
              <w:rPr>
                <w:kern w:val="0"/>
              </w:rPr>
              <w:t>) Vantage</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spacing w:line="280" w:lineRule="exact"/>
              <w:jc w:val="center"/>
            </w:pPr>
            <w:r>
              <w:rPr>
                <w:kern w:val="0"/>
              </w:rPr>
              <w:t>C1(</w:t>
            </w:r>
            <w:r>
              <w:rPr>
                <w:kern w:val="0"/>
              </w:rPr>
              <w:t>流利級</w:t>
            </w:r>
            <w:r>
              <w:rPr>
                <w:kern w:val="0"/>
              </w:rPr>
              <w:t>) Effective Operational Proficiency</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C2(</w:t>
            </w:r>
            <w:r>
              <w:rPr>
                <w:kern w:val="0"/>
              </w:rPr>
              <w:t>精通級</w:t>
            </w:r>
            <w:r>
              <w:rPr>
                <w:kern w:val="0"/>
              </w:rPr>
              <w:t>) Mastery</w:t>
            </w:r>
          </w:p>
        </w:tc>
      </w:tr>
      <w:tr w:rsidR="002701A0">
        <w:tblPrEx>
          <w:tblCellMar>
            <w:top w:w="0" w:type="dxa"/>
            <w:bottom w:w="0" w:type="dxa"/>
          </w:tblCellMar>
        </w:tblPrEx>
        <w:trPr>
          <w:trHeight w:val="567"/>
          <w:jc w:val="center"/>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托福</w:t>
            </w:r>
          </w:p>
          <w:p w:rsidR="002701A0" w:rsidRDefault="003D5D10">
            <w:pPr>
              <w:pStyle w:val="Standard"/>
              <w:widowControl/>
              <w:jc w:val="center"/>
            </w:pPr>
            <w:r>
              <w:rPr>
                <w:kern w:val="0"/>
              </w:rPr>
              <w:t>(TOEFL)</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紙筆型態</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390</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457</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527</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560</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630</w:t>
            </w:r>
            <w:r>
              <w:rPr>
                <w:kern w:val="0"/>
              </w:rPr>
              <w:t>以上</w:t>
            </w:r>
          </w:p>
        </w:tc>
      </w:tr>
      <w:tr w:rsidR="002701A0">
        <w:tblPrEx>
          <w:tblCellMar>
            <w:top w:w="0" w:type="dxa"/>
            <w:bottom w:w="0" w:type="dxa"/>
          </w:tblCellMar>
        </w:tblPrEx>
        <w:trPr>
          <w:trHeight w:val="567"/>
          <w:jc w:val="center"/>
        </w:trPr>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電腦型態</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90</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137</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197</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220</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267</w:t>
            </w:r>
            <w:r>
              <w:rPr>
                <w:kern w:val="0"/>
              </w:rPr>
              <w:t>以上</w:t>
            </w:r>
          </w:p>
        </w:tc>
      </w:tr>
      <w:tr w:rsidR="002701A0">
        <w:tblPrEx>
          <w:tblCellMar>
            <w:top w:w="0" w:type="dxa"/>
            <w:bottom w:w="0" w:type="dxa"/>
          </w:tblCellMar>
        </w:tblPrEx>
        <w:trPr>
          <w:trHeight w:val="567"/>
          <w:jc w:val="center"/>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多益測驗</w:t>
            </w:r>
            <w:r>
              <w:rPr>
                <w:kern w:val="0"/>
              </w:rPr>
              <w:t>(TOEIC)</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傳統</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350</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550</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750</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880</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950</w:t>
            </w:r>
            <w:r>
              <w:rPr>
                <w:kern w:val="0"/>
              </w:rPr>
              <w:t>以上</w:t>
            </w:r>
          </w:p>
        </w:tc>
      </w:tr>
      <w:tr w:rsidR="002701A0">
        <w:tblPrEx>
          <w:tblCellMar>
            <w:top w:w="0" w:type="dxa"/>
            <w:bottom w:w="0" w:type="dxa"/>
          </w:tblCellMar>
        </w:tblPrEx>
        <w:trPr>
          <w:trHeight w:val="730"/>
          <w:jc w:val="center"/>
        </w:trPr>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567"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新版</w:t>
            </w:r>
          </w:p>
        </w:tc>
        <w:tc>
          <w:tcPr>
            <w:tcW w:w="75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聽力測驗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110</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275</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400</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490</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r>
      <w:tr w:rsidR="002701A0">
        <w:tblPrEx>
          <w:tblCellMar>
            <w:top w:w="0" w:type="dxa"/>
            <w:bottom w:w="0" w:type="dxa"/>
          </w:tblCellMar>
        </w:tblPrEx>
        <w:trPr>
          <w:trHeight w:val="753"/>
          <w:jc w:val="center"/>
        </w:trPr>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56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閱讀測驗</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115</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275</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385</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455</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jc w:val="center"/>
            </w:pPr>
            <w:r>
              <w:rPr>
                <w:kern w:val="0"/>
              </w:rPr>
              <w:t>- - -</w:t>
            </w:r>
          </w:p>
        </w:tc>
      </w:tr>
      <w:tr w:rsidR="002701A0">
        <w:tblPrEx>
          <w:tblCellMar>
            <w:top w:w="0" w:type="dxa"/>
            <w:bottom w:w="0" w:type="dxa"/>
          </w:tblCellMar>
        </w:tblPrEx>
        <w:trPr>
          <w:trHeight w:val="567"/>
          <w:jc w:val="center"/>
        </w:trPr>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大學校院英語能力測驗</w:t>
            </w:r>
            <w:r>
              <w:rPr>
                <w:kern w:val="0"/>
              </w:rPr>
              <w:t>(CSEPT)</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第一級</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170</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230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r>
      <w:tr w:rsidR="002701A0">
        <w:tblPrEx>
          <w:tblCellMar>
            <w:top w:w="0" w:type="dxa"/>
            <w:bottom w:w="0" w:type="dxa"/>
          </w:tblCellMar>
        </w:tblPrEx>
        <w:trPr>
          <w:trHeight w:val="567"/>
          <w:jc w:val="center"/>
        </w:trPr>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0000" w:rsidRDefault="003D5D10"/>
        </w:tc>
        <w:tc>
          <w:tcPr>
            <w:tcW w:w="13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第二級</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240</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330</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 - -</w:t>
            </w:r>
          </w:p>
        </w:tc>
      </w:tr>
      <w:tr w:rsidR="002701A0">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IELTS</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3</w:t>
            </w:r>
            <w:r>
              <w:rPr>
                <w:kern w:val="0"/>
              </w:rPr>
              <w:t>以上</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4</w:t>
            </w:r>
            <w:r>
              <w:rPr>
                <w:kern w:val="0"/>
              </w:rPr>
              <w:t>以上</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5.5</w:t>
            </w:r>
            <w:r>
              <w:rPr>
                <w:kern w:val="0"/>
              </w:rPr>
              <w:t>以上</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6.5</w:t>
            </w:r>
            <w:r>
              <w:rPr>
                <w:kern w:val="0"/>
              </w:rPr>
              <w:t>以上</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7.5</w:t>
            </w:r>
            <w:r>
              <w:rPr>
                <w:kern w:val="0"/>
              </w:rPr>
              <w:t>以上</w:t>
            </w:r>
          </w:p>
        </w:tc>
      </w:tr>
      <w:tr w:rsidR="002701A0">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全民網路英檢</w:t>
            </w:r>
            <w:r>
              <w:rPr>
                <w:kern w:val="0"/>
              </w:rPr>
              <w:t>(NETPAW)</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初級</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中級</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中高級</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高級</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專業級</w:t>
            </w:r>
          </w:p>
        </w:tc>
      </w:tr>
      <w:tr w:rsidR="002701A0">
        <w:tblPrEx>
          <w:tblCellMar>
            <w:top w:w="0" w:type="dxa"/>
            <w:bottom w:w="0" w:type="dxa"/>
          </w:tblCellMar>
        </w:tblPrEx>
        <w:trPr>
          <w:trHeight w:val="567"/>
          <w:jc w:val="center"/>
        </w:trPr>
        <w:tc>
          <w:tcPr>
            <w:tcW w:w="2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全球英檢</w:t>
            </w:r>
            <w:r>
              <w:rPr>
                <w:kern w:val="0"/>
              </w:rPr>
              <w:t>(GET)</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A2</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B1</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B2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C1</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01A0" w:rsidRDefault="003D5D10">
            <w:pPr>
              <w:pStyle w:val="Standard"/>
              <w:widowControl/>
              <w:jc w:val="center"/>
            </w:pPr>
            <w:r>
              <w:rPr>
                <w:kern w:val="0"/>
              </w:rPr>
              <w:t>C2</w:t>
            </w:r>
          </w:p>
        </w:tc>
      </w:tr>
      <w:tr w:rsidR="002701A0">
        <w:tblPrEx>
          <w:tblCellMar>
            <w:top w:w="0" w:type="dxa"/>
            <w:bottom w:w="0" w:type="dxa"/>
          </w:tblCellMar>
        </w:tblPrEx>
        <w:trPr>
          <w:trHeight w:val="567"/>
          <w:jc w:val="center"/>
        </w:trPr>
        <w:tc>
          <w:tcPr>
            <w:tcW w:w="6203" w:type="dxa"/>
            <w:gridSpan w:val="5"/>
            <w:tcBorders>
              <w:bottom w:val="single" w:sz="4" w:space="0" w:color="FFFFFF"/>
              <w:right w:val="single" w:sz="4" w:space="0" w:color="FFFFFF"/>
            </w:tcBorders>
            <w:shd w:val="clear" w:color="auto" w:fill="auto"/>
            <w:tcMar>
              <w:top w:w="0" w:type="dxa"/>
              <w:left w:w="28" w:type="dxa"/>
              <w:bottom w:w="0" w:type="dxa"/>
              <w:right w:w="28" w:type="dxa"/>
            </w:tcMar>
            <w:vAlign w:val="center"/>
          </w:tcPr>
          <w:p w:rsidR="002701A0" w:rsidRDefault="003D5D10">
            <w:pPr>
              <w:pStyle w:val="Standard"/>
              <w:snapToGrid w:val="0"/>
            </w:pPr>
            <w:r>
              <w:rPr>
                <w:sz w:val="20"/>
                <w:szCs w:val="20"/>
              </w:rPr>
              <w:t>備註：</w:t>
            </w:r>
          </w:p>
          <w:p w:rsidR="002701A0" w:rsidRDefault="003D5D10">
            <w:pPr>
              <w:pStyle w:val="Standard"/>
              <w:snapToGrid w:val="0"/>
              <w:ind w:left="168" w:hanging="168"/>
              <w:jc w:val="both"/>
            </w:pPr>
            <w:r>
              <w:rPr>
                <w:sz w:val="20"/>
                <w:szCs w:val="20"/>
              </w:rPr>
              <w:t>1.</w:t>
            </w:r>
            <w:r>
              <w:rPr>
                <w:sz w:val="20"/>
                <w:szCs w:val="20"/>
              </w:rPr>
              <w:t>托福紙筆測驗</w:t>
            </w:r>
            <w:r>
              <w:rPr>
                <w:sz w:val="20"/>
                <w:szCs w:val="20"/>
              </w:rPr>
              <w:t>(TOEFL ITP)</w:t>
            </w:r>
            <w:r>
              <w:rPr>
                <w:sz w:val="20"/>
                <w:szCs w:val="20"/>
              </w:rPr>
              <w:t>對照成績自</w:t>
            </w:r>
            <w:r>
              <w:rPr>
                <w:sz w:val="20"/>
                <w:szCs w:val="20"/>
              </w:rPr>
              <w:t>100</w:t>
            </w:r>
            <w:r>
              <w:rPr>
                <w:sz w:val="20"/>
                <w:szCs w:val="20"/>
              </w:rPr>
              <w:t>年</w:t>
            </w:r>
            <w:r>
              <w:rPr>
                <w:sz w:val="20"/>
                <w:szCs w:val="20"/>
              </w:rPr>
              <w:t>11</w:t>
            </w:r>
            <w:r>
              <w:rPr>
                <w:sz w:val="20"/>
                <w:szCs w:val="20"/>
              </w:rPr>
              <w:t>月起更新。</w:t>
            </w:r>
          </w:p>
          <w:p w:rsidR="002701A0" w:rsidRDefault="003D5D10">
            <w:pPr>
              <w:pStyle w:val="Standard"/>
              <w:snapToGrid w:val="0"/>
              <w:jc w:val="both"/>
            </w:pPr>
            <w:r>
              <w:rPr>
                <w:sz w:val="20"/>
                <w:szCs w:val="20"/>
              </w:rPr>
              <w:t>2.</w:t>
            </w:r>
            <w:r>
              <w:rPr>
                <w:sz w:val="20"/>
                <w:szCs w:val="20"/>
              </w:rPr>
              <w:t>外語能力測驗</w:t>
            </w:r>
            <w:r>
              <w:rPr>
                <w:sz w:val="20"/>
                <w:szCs w:val="20"/>
              </w:rPr>
              <w:t>(FLPT)</w:t>
            </w:r>
            <w:r>
              <w:rPr>
                <w:sz w:val="20"/>
                <w:szCs w:val="20"/>
              </w:rPr>
              <w:t>對照成績自</w:t>
            </w:r>
            <w:r>
              <w:rPr>
                <w:sz w:val="20"/>
                <w:szCs w:val="20"/>
              </w:rPr>
              <w:t>98</w:t>
            </w:r>
            <w:r>
              <w:rPr>
                <w:sz w:val="20"/>
                <w:szCs w:val="20"/>
              </w:rPr>
              <w:t>年</w:t>
            </w:r>
            <w:r>
              <w:rPr>
                <w:sz w:val="20"/>
                <w:szCs w:val="20"/>
              </w:rPr>
              <w:t>11</w:t>
            </w:r>
            <w:r>
              <w:rPr>
                <w:sz w:val="20"/>
                <w:szCs w:val="20"/>
              </w:rPr>
              <w:t>月起更新。</w:t>
            </w:r>
          </w:p>
          <w:p w:rsidR="002701A0" w:rsidRDefault="003D5D10">
            <w:pPr>
              <w:pStyle w:val="Standard"/>
              <w:snapToGrid w:val="0"/>
              <w:jc w:val="both"/>
            </w:pPr>
            <w:r>
              <w:rPr>
                <w:sz w:val="20"/>
                <w:szCs w:val="20"/>
              </w:rPr>
              <w:t>3.</w:t>
            </w:r>
            <w:r>
              <w:rPr>
                <w:sz w:val="20"/>
                <w:szCs w:val="20"/>
              </w:rPr>
              <w:t>托福網路測驗</w:t>
            </w:r>
            <w:r>
              <w:rPr>
                <w:sz w:val="20"/>
                <w:szCs w:val="20"/>
              </w:rPr>
              <w:t>(TOEFL CBT)</w:t>
            </w:r>
            <w:r>
              <w:rPr>
                <w:sz w:val="20"/>
                <w:szCs w:val="20"/>
              </w:rPr>
              <w:t>自</w:t>
            </w:r>
            <w:r>
              <w:rPr>
                <w:sz w:val="20"/>
                <w:szCs w:val="20"/>
              </w:rPr>
              <w:t>95</w:t>
            </w:r>
            <w:r>
              <w:rPr>
                <w:sz w:val="20"/>
                <w:szCs w:val="20"/>
              </w:rPr>
              <w:t>年</w:t>
            </w:r>
            <w:r>
              <w:rPr>
                <w:sz w:val="20"/>
                <w:szCs w:val="20"/>
              </w:rPr>
              <w:t>9</w:t>
            </w:r>
            <w:r>
              <w:rPr>
                <w:sz w:val="20"/>
                <w:szCs w:val="20"/>
              </w:rPr>
              <w:t>月</w:t>
            </w:r>
            <w:r>
              <w:rPr>
                <w:sz w:val="20"/>
                <w:szCs w:val="20"/>
              </w:rPr>
              <w:t>30</w:t>
            </w:r>
            <w:r>
              <w:rPr>
                <w:sz w:val="20"/>
                <w:szCs w:val="20"/>
              </w:rPr>
              <w:t>日起停辦。</w:t>
            </w:r>
          </w:p>
          <w:p w:rsidR="002701A0" w:rsidRDefault="003D5D10">
            <w:pPr>
              <w:pStyle w:val="Standard"/>
              <w:snapToGrid w:val="0"/>
              <w:jc w:val="both"/>
            </w:pPr>
            <w:r>
              <w:rPr>
                <w:sz w:val="20"/>
                <w:szCs w:val="20"/>
              </w:rPr>
              <w:t>4.</w:t>
            </w:r>
            <w:r>
              <w:rPr>
                <w:sz w:val="20"/>
                <w:szCs w:val="20"/>
              </w:rPr>
              <w:t>傳統多益測驗</w:t>
            </w:r>
            <w:r>
              <w:rPr>
                <w:sz w:val="20"/>
                <w:szCs w:val="20"/>
              </w:rPr>
              <w:t>(TOEIC)</w:t>
            </w:r>
            <w:r>
              <w:rPr>
                <w:sz w:val="20"/>
                <w:szCs w:val="20"/>
              </w:rPr>
              <w:t>自</w:t>
            </w:r>
            <w:r>
              <w:rPr>
                <w:sz w:val="20"/>
                <w:szCs w:val="20"/>
              </w:rPr>
              <w:t>98</w:t>
            </w:r>
            <w:r>
              <w:rPr>
                <w:sz w:val="20"/>
                <w:szCs w:val="20"/>
              </w:rPr>
              <w:t>年</w:t>
            </w:r>
            <w:r>
              <w:rPr>
                <w:sz w:val="20"/>
                <w:szCs w:val="20"/>
              </w:rPr>
              <w:t>8</w:t>
            </w:r>
            <w:r>
              <w:rPr>
                <w:sz w:val="20"/>
                <w:szCs w:val="20"/>
              </w:rPr>
              <w:t>月</w:t>
            </w:r>
            <w:r>
              <w:rPr>
                <w:sz w:val="20"/>
                <w:szCs w:val="20"/>
              </w:rPr>
              <w:t>31</w:t>
            </w:r>
            <w:r>
              <w:rPr>
                <w:sz w:val="20"/>
                <w:szCs w:val="20"/>
              </w:rPr>
              <w:t>日起停考。</w:t>
            </w:r>
          </w:p>
          <w:p w:rsidR="002701A0" w:rsidRDefault="002701A0">
            <w:pPr>
              <w:pStyle w:val="Standard"/>
              <w:widowControl/>
              <w:jc w:val="center"/>
              <w:rPr>
                <w:kern w:val="0"/>
              </w:rPr>
            </w:pPr>
          </w:p>
        </w:tc>
        <w:tc>
          <w:tcPr>
            <w:tcW w:w="4972" w:type="dxa"/>
            <w:gridSpan w:val="3"/>
            <w:tcBorders>
              <w:left w:val="single" w:sz="4" w:space="0" w:color="FFFFFF"/>
              <w:bottom w:val="single" w:sz="4" w:space="0" w:color="FFFFFF"/>
            </w:tcBorders>
            <w:shd w:val="clear" w:color="auto" w:fill="auto"/>
            <w:tcMar>
              <w:top w:w="0" w:type="dxa"/>
              <w:left w:w="28" w:type="dxa"/>
              <w:bottom w:w="0" w:type="dxa"/>
              <w:right w:w="28" w:type="dxa"/>
            </w:tcMar>
            <w:vAlign w:val="center"/>
          </w:tcPr>
          <w:p w:rsidR="002701A0" w:rsidRDefault="003D5D10">
            <w:pPr>
              <w:pStyle w:val="Standard"/>
              <w:snapToGrid w:val="0"/>
            </w:pPr>
            <w:r>
              <w:rPr>
                <w:sz w:val="20"/>
                <w:szCs w:val="20"/>
              </w:rPr>
              <w:t>資料參考：</w:t>
            </w:r>
          </w:p>
          <w:p w:rsidR="002701A0" w:rsidRDefault="003D5D10">
            <w:pPr>
              <w:pStyle w:val="Standard"/>
              <w:snapToGrid w:val="0"/>
            </w:pPr>
            <w:r>
              <w:rPr>
                <w:sz w:val="20"/>
                <w:szCs w:val="20"/>
              </w:rPr>
              <w:t>1.LTTC</w:t>
            </w:r>
            <w:r>
              <w:rPr>
                <w:sz w:val="20"/>
                <w:szCs w:val="20"/>
              </w:rPr>
              <w:t>財團法人語言訓練測驗中心</w:t>
            </w:r>
          </w:p>
          <w:p w:rsidR="002701A0" w:rsidRDefault="003D5D10">
            <w:pPr>
              <w:pStyle w:val="Standard"/>
              <w:snapToGrid w:val="0"/>
            </w:pPr>
            <w:r>
              <w:rPr>
                <w:sz w:val="20"/>
                <w:szCs w:val="20"/>
              </w:rPr>
              <w:t>2.ETS</w:t>
            </w:r>
            <w:r>
              <w:rPr>
                <w:sz w:val="20"/>
                <w:szCs w:val="20"/>
              </w:rPr>
              <w:t>台灣區代表忠欣股份有限公司</w:t>
            </w:r>
          </w:p>
          <w:p w:rsidR="002701A0" w:rsidRDefault="003D5D10">
            <w:pPr>
              <w:pStyle w:val="Standard"/>
              <w:snapToGrid w:val="0"/>
            </w:pPr>
            <w:r>
              <w:rPr>
                <w:sz w:val="20"/>
                <w:szCs w:val="20"/>
              </w:rPr>
              <w:t>3.</w:t>
            </w:r>
            <w:r>
              <w:rPr>
                <w:sz w:val="20"/>
                <w:szCs w:val="20"/>
              </w:rPr>
              <w:t>劍橋博思國際職場英檢</w:t>
            </w:r>
          </w:p>
          <w:p w:rsidR="002701A0" w:rsidRDefault="003D5D10">
            <w:pPr>
              <w:pStyle w:val="Standard"/>
              <w:snapToGrid w:val="0"/>
            </w:pPr>
            <w:r>
              <w:rPr>
                <w:sz w:val="20"/>
                <w:szCs w:val="20"/>
              </w:rPr>
              <w:t>4.</w:t>
            </w:r>
            <w:r>
              <w:rPr>
                <w:sz w:val="20"/>
                <w:szCs w:val="20"/>
              </w:rPr>
              <w:t>臺南市政府暨所屬機關學校公務人員英語檢測陞任評分計分標準對照</w:t>
            </w:r>
          </w:p>
        </w:tc>
      </w:tr>
    </w:tbl>
    <w:p w:rsidR="002701A0" w:rsidRDefault="002701A0">
      <w:pPr>
        <w:pStyle w:val="Textbody"/>
        <w:rPr>
          <w:rFonts w:ascii="標楷體" w:eastAsia="標楷體" w:hAnsi="標楷體"/>
          <w:sz w:val="26"/>
          <w:szCs w:val="26"/>
        </w:rPr>
      </w:pPr>
    </w:p>
    <w:p w:rsidR="002701A0" w:rsidRDefault="002701A0">
      <w:pPr>
        <w:pStyle w:val="Textbody"/>
        <w:rPr>
          <w:rFonts w:ascii="標楷體" w:eastAsia="標楷體" w:hAnsi="標楷體"/>
          <w:sz w:val="26"/>
          <w:szCs w:val="26"/>
        </w:rPr>
      </w:pPr>
    </w:p>
    <w:p w:rsidR="002701A0" w:rsidRDefault="003D5D10">
      <w:pPr>
        <w:pStyle w:val="20"/>
        <w:spacing w:line="440" w:lineRule="exact"/>
        <w:ind w:left="0"/>
      </w:pPr>
      <w:r>
        <w:rPr>
          <w:rFonts w:ascii="標楷體" w:eastAsia="標楷體" w:hAnsi="標楷體"/>
          <w:bCs/>
          <w:sz w:val="28"/>
          <w:szCs w:val="28"/>
        </w:rPr>
        <w:lastRenderedPageBreak/>
        <w:t>第三點報名資格</w:t>
      </w:r>
      <w:r>
        <w:rPr>
          <w:rFonts w:ascii="標楷體" w:eastAsia="標楷體" w:hAnsi="標楷體"/>
          <w:bCs/>
          <w:sz w:val="28"/>
          <w:szCs w:val="28"/>
        </w:rPr>
        <w:t>(</w:t>
      </w:r>
      <w:r>
        <w:rPr>
          <w:rFonts w:ascii="標楷體" w:eastAsia="標楷體" w:hAnsi="標楷體"/>
          <w:bCs/>
          <w:sz w:val="28"/>
          <w:szCs w:val="28"/>
        </w:rPr>
        <w:t>二</w:t>
      </w:r>
      <w:r>
        <w:rPr>
          <w:rFonts w:ascii="標楷體" w:eastAsia="標楷體" w:hAnsi="標楷體"/>
          <w:bCs/>
          <w:sz w:val="28"/>
          <w:szCs w:val="28"/>
        </w:rPr>
        <w:t>)</w:t>
      </w:r>
      <w:r>
        <w:rPr>
          <w:rFonts w:ascii="標楷體" w:eastAsia="標楷體" w:hAnsi="標楷體"/>
          <w:bCs/>
          <w:sz w:val="28"/>
          <w:szCs w:val="28"/>
        </w:rPr>
        <w:t>且無下列情事之一者：</w:t>
      </w:r>
    </w:p>
    <w:tbl>
      <w:tblPr>
        <w:tblW w:w="10602" w:type="dxa"/>
        <w:tblLayout w:type="fixed"/>
        <w:tblCellMar>
          <w:left w:w="10" w:type="dxa"/>
          <w:right w:w="10" w:type="dxa"/>
        </w:tblCellMar>
        <w:tblLook w:val="0000" w:firstRow="0" w:lastRow="0" w:firstColumn="0" w:lastColumn="0" w:noHBand="0" w:noVBand="0"/>
      </w:tblPr>
      <w:tblGrid>
        <w:gridCol w:w="1383"/>
        <w:gridCol w:w="9219"/>
      </w:tblGrid>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教育人員任用條例第</w:t>
            </w:r>
            <w:r>
              <w:rPr>
                <w:rFonts w:ascii="標楷體" w:eastAsia="標楷體" w:hAnsi="標楷體"/>
                <w:color w:val="FF0000"/>
                <w:sz w:val="28"/>
                <w:szCs w:val="28"/>
              </w:rPr>
              <w:t>31</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具有下列情事之一者，不得為教育人員；其已任用者，應報請主管教育行政機關核准後，予以解聘或免職：</w:t>
            </w:r>
          </w:p>
          <w:p w:rsidR="002701A0" w:rsidRDefault="003D5D10">
            <w:pPr>
              <w:pStyle w:val="Standard"/>
            </w:pPr>
            <w:r>
              <w:rPr>
                <w:rFonts w:ascii="標楷體" w:eastAsia="標楷體" w:hAnsi="標楷體" w:cs="細明體"/>
                <w:kern w:val="0"/>
                <w:szCs w:val="24"/>
              </w:rPr>
              <w:t>一、曾犯內亂、外患罪，經有罪判決確定或通緝有案尚未結案。</w:t>
            </w:r>
          </w:p>
          <w:p w:rsidR="002701A0" w:rsidRDefault="003D5D10">
            <w:pPr>
              <w:pStyle w:val="Standard"/>
            </w:pPr>
            <w:r>
              <w:rPr>
                <w:rFonts w:ascii="標楷體" w:eastAsia="標楷體" w:hAnsi="標楷體" w:cs="細明體"/>
                <w:kern w:val="0"/>
                <w:szCs w:val="24"/>
              </w:rPr>
              <w:t>二、曾服公務，因貪污瀆職經有罪判決確定或通緝有案尚未結案。</w:t>
            </w:r>
          </w:p>
          <w:p w:rsidR="002701A0" w:rsidRDefault="003D5D10">
            <w:pPr>
              <w:pStyle w:val="Standard"/>
            </w:pPr>
            <w:r>
              <w:rPr>
                <w:rFonts w:ascii="標楷體" w:eastAsia="標楷體" w:hAnsi="標楷體" w:cs="細明體"/>
                <w:kern w:val="0"/>
                <w:szCs w:val="24"/>
              </w:rPr>
              <w:t>三、曾犯性侵害犯罪防治法第二條第一項所定之罪，經有罪判決確定。</w:t>
            </w:r>
          </w:p>
          <w:p w:rsidR="002701A0" w:rsidRDefault="003D5D10">
            <w:pPr>
              <w:pStyle w:val="Standard"/>
            </w:pPr>
            <w:r>
              <w:rPr>
                <w:rFonts w:ascii="標楷體" w:eastAsia="標楷體" w:hAnsi="標楷體" w:cs="細明體"/>
                <w:kern w:val="0"/>
                <w:szCs w:val="24"/>
              </w:rPr>
              <w:t>四、依法停止任用，或受休職處分尚未期滿，或因案停止職務，其原因尚未消滅。</w:t>
            </w:r>
          </w:p>
          <w:p w:rsidR="002701A0" w:rsidRDefault="003D5D10">
            <w:pPr>
              <w:pStyle w:val="Standard"/>
            </w:pPr>
            <w:r>
              <w:rPr>
                <w:rFonts w:ascii="標楷體" w:eastAsia="標楷體" w:hAnsi="標楷體" w:cs="細明體"/>
                <w:kern w:val="0"/>
                <w:szCs w:val="24"/>
              </w:rPr>
              <w:t>五、褫奪公權尚未復權。</w:t>
            </w:r>
          </w:p>
          <w:p w:rsidR="002701A0" w:rsidRDefault="003D5D10">
            <w:pPr>
              <w:pStyle w:val="Standard"/>
            </w:pPr>
            <w:r>
              <w:rPr>
                <w:rFonts w:ascii="標楷體" w:eastAsia="標楷體" w:hAnsi="標楷體" w:cs="細明體"/>
                <w:kern w:val="0"/>
                <w:szCs w:val="24"/>
              </w:rPr>
              <w:t>六、受監護或輔助宣告尚未撤銷。</w:t>
            </w:r>
          </w:p>
          <w:p w:rsidR="002701A0" w:rsidRDefault="003D5D10">
            <w:pPr>
              <w:pStyle w:val="Standard"/>
            </w:pPr>
            <w:r>
              <w:rPr>
                <w:rFonts w:ascii="標楷體" w:eastAsia="標楷體" w:hAnsi="標楷體" w:cs="細明體"/>
                <w:kern w:val="0"/>
                <w:szCs w:val="24"/>
              </w:rPr>
              <w:t>七、經合格醫師證明有精神病尚未痊癒。</w:t>
            </w:r>
          </w:p>
          <w:p w:rsidR="002701A0" w:rsidRDefault="003D5D10">
            <w:pPr>
              <w:pStyle w:val="Standard"/>
            </w:pPr>
            <w:r>
              <w:rPr>
                <w:rFonts w:ascii="標楷體" w:eastAsia="標楷體" w:hAnsi="標楷體" w:cs="細明體"/>
                <w:kern w:val="0"/>
                <w:szCs w:val="24"/>
              </w:rPr>
              <w:t>八、經學校性別平等教育委員會或依法組成之相關委員會調查確認有性侵害行為屬實。</w:t>
            </w:r>
          </w:p>
          <w:p w:rsidR="002701A0" w:rsidRDefault="003D5D10">
            <w:pPr>
              <w:pStyle w:val="Standard"/>
            </w:pPr>
            <w:r>
              <w:rPr>
                <w:rFonts w:ascii="標楷體" w:eastAsia="標楷體" w:hAnsi="標楷體" w:cs="細明體"/>
                <w:kern w:val="0"/>
                <w:szCs w:val="24"/>
              </w:rPr>
              <w:t>九、經學校性別平等教育委員會或依法組成之相關委員會調查確認有性騷擾或性霸凌行</w:t>
            </w:r>
            <w:r>
              <w:rPr>
                <w:rFonts w:ascii="標楷體" w:eastAsia="標楷體" w:hAnsi="標楷體" w:cs="細明體"/>
                <w:kern w:val="0"/>
                <w:szCs w:val="24"/>
              </w:rPr>
              <w:t>為，且情節重大。</w:t>
            </w:r>
          </w:p>
          <w:p w:rsidR="002701A0" w:rsidRDefault="003D5D10">
            <w:pPr>
              <w:pStyle w:val="Standard"/>
            </w:pPr>
            <w:r>
              <w:rPr>
                <w:rFonts w:ascii="標楷體" w:eastAsia="標楷體" w:hAnsi="標楷體" w:cs="細明體"/>
                <w:kern w:val="0"/>
                <w:szCs w:val="24"/>
              </w:rPr>
              <w:t>十、知悉服務學校發生疑似校園性侵害事件，未依性別平等教育法規定通報，致再度發</w:t>
            </w:r>
            <w:r>
              <w:rPr>
                <w:rFonts w:ascii="標楷體" w:eastAsia="標楷體" w:hAnsi="標楷體" w:cs="細明體"/>
                <w:kern w:val="0"/>
                <w:szCs w:val="24"/>
              </w:rPr>
              <w:t>生校園性侵害事件；或偽造、變造、湮滅或隱匿他人所犯校園性侵害事件之證據，</w:t>
            </w:r>
            <w:r>
              <w:rPr>
                <w:rFonts w:ascii="標楷體" w:eastAsia="標楷體" w:hAnsi="標楷體" w:cs="細明體"/>
                <w:kern w:val="0"/>
                <w:szCs w:val="24"/>
              </w:rPr>
              <w:t xml:space="preserve">   </w:t>
            </w:r>
            <w:r>
              <w:rPr>
                <w:rFonts w:ascii="標楷體" w:eastAsia="標楷體" w:hAnsi="標楷體" w:cs="細明體"/>
                <w:kern w:val="0"/>
                <w:szCs w:val="24"/>
              </w:rPr>
              <w:t>經有關機關查證屬實。</w:t>
            </w:r>
          </w:p>
          <w:p w:rsidR="002701A0" w:rsidRDefault="003D5D10">
            <w:pPr>
              <w:pStyle w:val="Standard"/>
            </w:pPr>
            <w:r>
              <w:rPr>
                <w:rFonts w:ascii="標楷體" w:eastAsia="標楷體" w:hAnsi="標楷體" w:cs="細明體"/>
                <w:kern w:val="0"/>
                <w:szCs w:val="24"/>
              </w:rPr>
              <w:t>十一、偽造、變造或湮滅他人所犯校園毒品危害事件之證據</w:t>
            </w:r>
            <w:r>
              <w:rPr>
                <w:rFonts w:ascii="標楷體" w:eastAsia="標楷體" w:hAnsi="標楷體" w:cs="細明體"/>
                <w:kern w:val="0"/>
                <w:szCs w:val="24"/>
              </w:rPr>
              <w:t>，經有關機關查證屬實。</w:t>
            </w:r>
          </w:p>
          <w:p w:rsidR="002701A0" w:rsidRDefault="003D5D10">
            <w:pPr>
              <w:pStyle w:val="Standard"/>
            </w:pPr>
            <w:r>
              <w:rPr>
                <w:rFonts w:ascii="標楷體" w:eastAsia="標楷體" w:hAnsi="標楷體" w:cs="細明體"/>
                <w:kern w:val="0"/>
                <w:szCs w:val="24"/>
              </w:rPr>
              <w:t>十二、體罰或霸凌學生，造成其身心嚴重侵害。</w:t>
            </w:r>
          </w:p>
          <w:p w:rsidR="002701A0" w:rsidRDefault="003D5D10">
            <w:pPr>
              <w:pStyle w:val="Standard"/>
            </w:pPr>
            <w:r>
              <w:rPr>
                <w:rFonts w:ascii="標楷體" w:eastAsia="標楷體" w:hAnsi="標楷體" w:cs="細明體"/>
                <w:kern w:val="0"/>
                <w:szCs w:val="24"/>
              </w:rPr>
              <w:t>十三、行為違反相關法令，經有關機關查證屬實。</w:t>
            </w:r>
          </w:p>
          <w:p w:rsidR="002701A0" w:rsidRDefault="003D5D10">
            <w:pPr>
              <w:pStyle w:val="Standard"/>
            </w:pPr>
            <w:r>
              <w:rPr>
                <w:rFonts w:ascii="標楷體" w:eastAsia="標楷體" w:hAnsi="標楷體" w:cs="細明體"/>
                <w:kern w:val="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2701A0" w:rsidRDefault="003D5D10">
            <w:pPr>
              <w:pStyle w:val="Standard"/>
            </w:pPr>
            <w:r>
              <w:rPr>
                <w:rFonts w:ascii="標楷體" w:eastAsia="標楷體" w:hAnsi="標楷體" w:cs="細明體"/>
                <w:kern w:val="0"/>
                <w:szCs w:val="24"/>
              </w:rPr>
              <w:t>第一項教育人員為校長時，應由主管教育行政機關予以解聘，其涉及第八款或第九款之行為，應由主管機關之性別平等教育委員會或依法組成之相關委員會調查之。</w:t>
            </w:r>
          </w:p>
          <w:p w:rsidR="002701A0" w:rsidRDefault="003D5D10">
            <w:pPr>
              <w:pStyle w:val="Standard"/>
            </w:pPr>
            <w:r>
              <w:rPr>
                <w:rFonts w:ascii="標楷體" w:eastAsia="標楷體" w:hAnsi="標楷體" w:cs="細明體"/>
                <w:kern w:val="0"/>
                <w:szCs w:val="24"/>
              </w:rPr>
              <w:t>被告為教育人員之性侵害刑事案件，其主管教育行政機關或所屬學校得於偵</w:t>
            </w:r>
            <w:r>
              <w:rPr>
                <w:rFonts w:ascii="標楷體" w:eastAsia="標楷體" w:hAnsi="標楷體" w:cs="細明體"/>
                <w:kern w:val="0"/>
                <w:szCs w:val="24"/>
              </w:rPr>
              <w:t>查或審判中，聲請司法機關提供案件相關資訊，並通知其偵查、裁判結果。但其妨害偵查不公開、足以妨害另案之偵查、違反法定保密義務，或有害被告訴訟防禦權之行使者，不在此限。</w:t>
            </w:r>
          </w:p>
          <w:p w:rsidR="002701A0" w:rsidRDefault="003D5D10">
            <w:pPr>
              <w:pStyle w:val="Standard"/>
            </w:pPr>
            <w:r>
              <w:rPr>
                <w:rFonts w:ascii="標楷體" w:eastAsia="標楷體" w:hAnsi="標楷體" w:cs="細明體"/>
                <w:kern w:val="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2701A0" w:rsidRDefault="003D5D10">
            <w:pPr>
              <w:pStyle w:val="Standard"/>
            </w:pPr>
            <w:r>
              <w:rPr>
                <w:rFonts w:ascii="標楷體" w:eastAsia="標楷體" w:hAnsi="標楷體" w:cs="細明體"/>
                <w:kern w:val="0"/>
                <w:szCs w:val="24"/>
              </w:rPr>
              <w:t>本條例中華民國一百零三年一月三日修正之條文施行前，因行為不檢有損師道，經有關機關查證屬實而解聘或免職之教育人員，除屬性侵害行為；性騷擾、性霸凌行為、行為違反相關法</w:t>
            </w:r>
            <w:r>
              <w:rPr>
                <w:rFonts w:ascii="標楷體" w:eastAsia="標楷體" w:hAnsi="標楷體" w:cs="細明體"/>
                <w:kern w:val="0"/>
                <w:szCs w:val="24"/>
              </w:rPr>
              <w:t>令，且情節重大；體罰或霸凌學生造成其身心嚴重侵害者外，於解聘或免職生效日起算逾四年者，得聘任為教育人員。</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教育人員任用條例第</w:t>
            </w:r>
            <w:r>
              <w:rPr>
                <w:rFonts w:ascii="標楷體" w:eastAsia="標楷體" w:hAnsi="標楷體"/>
                <w:color w:val="FF0000"/>
                <w:sz w:val="28"/>
                <w:szCs w:val="28"/>
              </w:rPr>
              <w:t>33</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有痼疾不能任事，或曾服公務交代未清者，不得任用為教育人員。已屆應即退休年齡者，不得任用為專任教育人員。</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14</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一、動員戡亂時期終止後，犯內亂、外患罪，經有罪判決確定。</w:t>
            </w:r>
          </w:p>
          <w:p w:rsidR="002701A0" w:rsidRDefault="003D5D10">
            <w:pPr>
              <w:pStyle w:val="Standard"/>
            </w:pPr>
            <w:r>
              <w:rPr>
                <w:rFonts w:ascii="標楷體" w:eastAsia="標楷體" w:hAnsi="標楷體" w:cs="細明體"/>
                <w:kern w:val="0"/>
                <w:szCs w:val="24"/>
              </w:rPr>
              <w:t>二、服公務，因貪污行為經有罪判決確定。</w:t>
            </w:r>
          </w:p>
          <w:p w:rsidR="002701A0" w:rsidRDefault="003D5D10">
            <w:pPr>
              <w:pStyle w:val="Standard"/>
            </w:pPr>
            <w:r>
              <w:rPr>
                <w:rFonts w:ascii="標楷體" w:eastAsia="標楷體" w:hAnsi="標楷體" w:cs="細明體"/>
                <w:kern w:val="0"/>
                <w:szCs w:val="24"/>
              </w:rPr>
              <w:t>三、犯性侵害犯罪防治法第二條第一項所定之罪，經有罪判決確定。</w:t>
            </w:r>
          </w:p>
          <w:p w:rsidR="002701A0" w:rsidRDefault="003D5D10">
            <w:pPr>
              <w:pStyle w:val="Standard"/>
            </w:pPr>
            <w:r>
              <w:rPr>
                <w:rFonts w:ascii="標楷體" w:eastAsia="標楷體" w:hAnsi="標楷體" w:cs="細明體"/>
                <w:kern w:val="0"/>
                <w:szCs w:val="24"/>
              </w:rPr>
              <w:t>四、經學校性別平等教育委員會或依法組成之相關委員會調查確認有性侵害行為屬實。</w:t>
            </w:r>
          </w:p>
          <w:p w:rsidR="002701A0" w:rsidRDefault="003D5D10">
            <w:pPr>
              <w:pStyle w:val="Standard"/>
            </w:pPr>
            <w:r>
              <w:rPr>
                <w:rFonts w:ascii="標楷體" w:eastAsia="標楷體" w:hAnsi="標楷體" w:cs="細明體"/>
                <w:kern w:val="0"/>
                <w:szCs w:val="24"/>
              </w:rPr>
              <w:t>五、經學校性別平等教育委員會或依法組成之相關委員會調查確認有性騷擾或性霸凌行</w:t>
            </w:r>
            <w:r>
              <w:rPr>
                <w:rFonts w:ascii="標楷體" w:eastAsia="標楷體" w:hAnsi="標楷體" w:cs="細明體"/>
                <w:kern w:val="0"/>
                <w:szCs w:val="24"/>
              </w:rPr>
              <w:t>為，有解聘及終身不得聘任為教師之必要。</w:t>
            </w:r>
          </w:p>
          <w:p w:rsidR="002701A0" w:rsidRDefault="003D5D10">
            <w:pPr>
              <w:pStyle w:val="Standard"/>
            </w:pPr>
            <w:r>
              <w:rPr>
                <w:rFonts w:ascii="標楷體" w:eastAsia="標楷體" w:hAnsi="標楷體" w:cs="細明體"/>
                <w:kern w:val="0"/>
                <w:szCs w:val="24"/>
              </w:rPr>
              <w:t>六、受兒童及少年性剝削防制條例規定處罰，或受性騷擾防治法第二十條或第二十五</w:t>
            </w:r>
            <w:r>
              <w:rPr>
                <w:rFonts w:ascii="標楷體" w:eastAsia="標楷體" w:hAnsi="標楷體" w:cs="細明體"/>
                <w:kern w:val="0"/>
                <w:szCs w:val="24"/>
              </w:rPr>
              <w:lastRenderedPageBreak/>
              <w:t>條</w:t>
            </w:r>
            <w:r>
              <w:rPr>
                <w:rFonts w:ascii="標楷體" w:eastAsia="標楷體" w:hAnsi="標楷體" w:cs="細明體"/>
                <w:kern w:val="0"/>
                <w:szCs w:val="24"/>
              </w:rPr>
              <w:t>規定處罰，經學校性別平等教育委員會確認，有解聘及終身不得聘任為教師之必要。</w:t>
            </w:r>
          </w:p>
          <w:p w:rsidR="002701A0" w:rsidRDefault="003D5D10">
            <w:pPr>
              <w:pStyle w:val="Standard"/>
            </w:pPr>
            <w:r>
              <w:rPr>
                <w:rFonts w:ascii="標楷體" w:eastAsia="標楷體" w:hAnsi="標楷體" w:cs="細明體"/>
                <w:kern w:val="0"/>
                <w:szCs w:val="24"/>
              </w:rPr>
              <w:t>七、經各級社政主管機關依兒童及少年福利與權益保障法第九十七條規定處罰，並經學</w:t>
            </w:r>
            <w:r>
              <w:rPr>
                <w:rFonts w:ascii="標楷體" w:eastAsia="標楷體" w:hAnsi="標楷體" w:cs="細明體"/>
                <w:kern w:val="0"/>
                <w:szCs w:val="24"/>
              </w:rPr>
              <w:t>校教師評審委員會確認，有解聘及終身不得聘任為教師之必要。</w:t>
            </w:r>
          </w:p>
          <w:p w:rsidR="002701A0" w:rsidRDefault="003D5D10">
            <w:pPr>
              <w:pStyle w:val="Standard"/>
            </w:pPr>
            <w:r>
              <w:rPr>
                <w:rFonts w:ascii="標楷體" w:eastAsia="標楷體" w:hAnsi="標楷體" w:cs="細明體"/>
                <w:kern w:val="0"/>
                <w:szCs w:val="24"/>
              </w:rPr>
              <w:t>八、知悉服務學校發生疑似校園性侵害事件，未依性別平等教育法規定通報，致再度發</w:t>
            </w:r>
            <w:r>
              <w:rPr>
                <w:rFonts w:ascii="標楷體" w:eastAsia="標楷體" w:hAnsi="標楷體" w:cs="細明體"/>
                <w:kern w:val="0"/>
                <w:szCs w:val="24"/>
              </w:rPr>
              <w:t>生</w:t>
            </w:r>
            <w:r>
              <w:rPr>
                <w:rFonts w:ascii="標楷體" w:eastAsia="標楷體" w:hAnsi="標楷體" w:cs="細明體"/>
                <w:kern w:val="0"/>
                <w:szCs w:val="24"/>
              </w:rPr>
              <w:t>校園性侵害事件；或偽造、變造、湮滅或隱匿他人所犯校園性侵害事件之證據，</w:t>
            </w:r>
            <w:r>
              <w:rPr>
                <w:rFonts w:ascii="標楷體" w:eastAsia="標楷體" w:hAnsi="標楷體" w:cs="細明體"/>
                <w:kern w:val="0"/>
                <w:szCs w:val="24"/>
              </w:rPr>
              <w:t xml:space="preserve">   </w:t>
            </w:r>
            <w:r>
              <w:rPr>
                <w:rFonts w:ascii="標楷體" w:eastAsia="標楷體" w:hAnsi="標楷體" w:cs="細明體"/>
                <w:kern w:val="0"/>
                <w:szCs w:val="24"/>
              </w:rPr>
              <w:t>經學校或有關機關查證屬實。</w:t>
            </w:r>
          </w:p>
          <w:p w:rsidR="002701A0" w:rsidRDefault="003D5D10">
            <w:pPr>
              <w:pStyle w:val="Standard"/>
            </w:pPr>
            <w:r>
              <w:rPr>
                <w:rFonts w:ascii="標楷體" w:eastAsia="標楷體" w:hAnsi="標楷體" w:cs="細明體"/>
                <w:kern w:val="0"/>
                <w:szCs w:val="24"/>
              </w:rPr>
              <w:t>九、偽造、變造或湮滅他人所犯校園毒品危害事件之證據，經學校或有關機關查證屬實。</w:t>
            </w:r>
          </w:p>
          <w:p w:rsidR="002701A0" w:rsidRDefault="003D5D10">
            <w:pPr>
              <w:pStyle w:val="Standard"/>
            </w:pPr>
            <w:r>
              <w:rPr>
                <w:rFonts w:ascii="標楷體" w:eastAsia="標楷體" w:hAnsi="標楷體" w:cs="細明體"/>
                <w:kern w:val="0"/>
                <w:szCs w:val="24"/>
              </w:rPr>
              <w:t>十、體罰或霸凌學生，造成其身心嚴重侵害。</w:t>
            </w:r>
          </w:p>
          <w:p w:rsidR="002701A0" w:rsidRDefault="003D5D10">
            <w:pPr>
              <w:pStyle w:val="Standard"/>
            </w:pPr>
            <w:r>
              <w:rPr>
                <w:rFonts w:ascii="標楷體" w:eastAsia="標楷體" w:hAnsi="標楷體" w:cs="細明體"/>
                <w:kern w:val="0"/>
                <w:szCs w:val="24"/>
              </w:rPr>
              <w:t>十一、行為違反相關法規，經學校或有關機關查證屬實，有解聘及終身不得聘任為教師</w:t>
            </w:r>
            <w:r>
              <w:rPr>
                <w:rFonts w:ascii="標楷體" w:eastAsia="標楷體" w:hAnsi="標楷體" w:cs="細明體"/>
                <w:kern w:val="0"/>
                <w:szCs w:val="24"/>
              </w:rPr>
              <w:t>之必要。</w:t>
            </w:r>
          </w:p>
          <w:p w:rsidR="002701A0" w:rsidRDefault="003D5D10">
            <w:pPr>
              <w:pStyle w:val="Standard"/>
            </w:pPr>
            <w:r>
              <w:rPr>
                <w:rFonts w:ascii="標楷體" w:eastAsia="標楷體" w:hAnsi="標楷體" w:cs="細明體"/>
                <w:kern w:val="0"/>
                <w:szCs w:val="24"/>
              </w:rPr>
              <w:t>教師有前項第一款至第三款規定情形之一者，免經教師評審委員會審議，並免報主管機關核准，予以解聘，不受大學法第二十條第一項及專科學校法第二十七條第一項規定之限制。</w:t>
            </w:r>
          </w:p>
          <w:p w:rsidR="002701A0" w:rsidRDefault="003D5D10">
            <w:pPr>
              <w:pStyle w:val="Standard"/>
            </w:pPr>
            <w:r>
              <w:rPr>
                <w:rFonts w:ascii="標楷體" w:eastAsia="標楷體" w:hAnsi="標楷體" w:cs="細明體"/>
                <w:kern w:val="0"/>
                <w:szCs w:val="24"/>
              </w:rPr>
              <w:t>教師有第一項第四款至第六款規定情形之一者，免經教師評審委員會審議，由學校逕報主管機關核准後，予以解聘，不受大學法第二十條第一項及專科學校法第二十七條第一項規定之限制。</w:t>
            </w:r>
          </w:p>
          <w:p w:rsidR="002701A0" w:rsidRDefault="003D5D10">
            <w:pPr>
              <w:pStyle w:val="Standard"/>
            </w:pPr>
            <w:r>
              <w:rPr>
                <w:rFonts w:ascii="標楷體" w:eastAsia="標楷體" w:hAnsi="標楷體" w:cs="細明體"/>
                <w:kern w:val="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lastRenderedPageBreak/>
              <w:t>教師法第</w:t>
            </w:r>
            <w:r>
              <w:rPr>
                <w:rFonts w:ascii="標楷體" w:eastAsia="標楷體" w:hAnsi="標楷體"/>
                <w:color w:val="FF0000"/>
                <w:sz w:val="28"/>
                <w:szCs w:val="28"/>
              </w:rPr>
              <w:t>15</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教師有下列各款情形之一者，應予解聘，</w:t>
            </w:r>
            <w:r>
              <w:rPr>
                <w:rFonts w:ascii="標楷體" w:eastAsia="標楷體" w:hAnsi="標楷體" w:cs="細明體"/>
                <w:kern w:val="0"/>
                <w:szCs w:val="24"/>
              </w:rPr>
              <w:t>且應議決一年至四年不得聘任為教師：</w:t>
            </w:r>
          </w:p>
          <w:p w:rsidR="002701A0" w:rsidRDefault="003D5D10">
            <w:pPr>
              <w:pStyle w:val="Standard"/>
            </w:pPr>
            <w:r>
              <w:rPr>
                <w:rFonts w:ascii="標楷體" w:eastAsia="標楷體" w:hAnsi="標楷體" w:cs="細明體"/>
                <w:kern w:val="0"/>
                <w:szCs w:val="24"/>
              </w:rPr>
              <w:t>一、經學校性別平等教育委員會或依法組成之相關委員會調查確認有性騷擾或性霸凌行</w:t>
            </w:r>
            <w:r>
              <w:rPr>
                <w:rFonts w:ascii="標楷體" w:eastAsia="標楷體" w:hAnsi="標楷體" w:cs="細明體"/>
                <w:kern w:val="0"/>
                <w:szCs w:val="24"/>
              </w:rPr>
              <w:t>為，有解聘之必要。</w:t>
            </w:r>
          </w:p>
          <w:p w:rsidR="002701A0" w:rsidRDefault="003D5D10">
            <w:pPr>
              <w:pStyle w:val="Standard"/>
            </w:pPr>
            <w:r>
              <w:rPr>
                <w:rFonts w:ascii="標楷體" w:eastAsia="標楷體" w:hAnsi="標楷體" w:cs="細明體"/>
                <w:kern w:val="0"/>
                <w:szCs w:val="24"/>
              </w:rPr>
              <w:t>二、受兒童及少年性剝削防制條例規定處罰，或受性騷擾防治法第二十條或第二十五條</w:t>
            </w:r>
            <w:r>
              <w:rPr>
                <w:rFonts w:ascii="標楷體" w:eastAsia="標楷體" w:hAnsi="標楷體" w:cs="細明體"/>
                <w:kern w:val="0"/>
                <w:szCs w:val="24"/>
              </w:rPr>
              <w:t>規定處罰，經學校性別平等教育委員會確認，有解聘之必要。</w:t>
            </w:r>
          </w:p>
          <w:p w:rsidR="002701A0" w:rsidRDefault="003D5D10">
            <w:pPr>
              <w:pStyle w:val="Standard"/>
            </w:pPr>
            <w:r>
              <w:rPr>
                <w:rFonts w:ascii="標楷體" w:eastAsia="標楷體" w:hAnsi="標楷體" w:cs="細明體"/>
                <w:kern w:val="0"/>
                <w:szCs w:val="24"/>
              </w:rPr>
              <w:t>三、體罰或霸凌學生，造成其身心侵害，有解聘之必要。</w:t>
            </w:r>
          </w:p>
          <w:p w:rsidR="002701A0" w:rsidRDefault="003D5D10">
            <w:pPr>
              <w:pStyle w:val="Standard"/>
            </w:pPr>
            <w:r>
              <w:rPr>
                <w:rFonts w:ascii="標楷體" w:eastAsia="標楷體" w:hAnsi="標楷體" w:cs="細明體"/>
                <w:kern w:val="0"/>
                <w:szCs w:val="24"/>
              </w:rPr>
              <w:t>四、經各級社政主管機關依兒童及少年福利與權益保障法第九十七條規定處罰，並經學</w:t>
            </w:r>
            <w:r>
              <w:rPr>
                <w:rFonts w:ascii="標楷體" w:eastAsia="標楷體" w:hAnsi="標楷體" w:cs="細明體"/>
                <w:kern w:val="0"/>
                <w:szCs w:val="24"/>
              </w:rPr>
              <w:t>校教師評審委員會確認，有解聘之必要。</w:t>
            </w:r>
          </w:p>
          <w:p w:rsidR="002701A0" w:rsidRDefault="003D5D10">
            <w:pPr>
              <w:pStyle w:val="Standard"/>
            </w:pPr>
            <w:r>
              <w:rPr>
                <w:rFonts w:ascii="標楷體" w:eastAsia="標楷體" w:hAnsi="標楷體" w:cs="細明體"/>
                <w:kern w:val="0"/>
                <w:szCs w:val="24"/>
              </w:rPr>
              <w:t>五、行為違反相關法規，經學校或有關機關查證屬實，有解聘之</w:t>
            </w:r>
            <w:r>
              <w:rPr>
                <w:rFonts w:ascii="標楷體" w:eastAsia="標楷體" w:hAnsi="標楷體" w:cs="細明體"/>
                <w:kern w:val="0"/>
                <w:szCs w:val="24"/>
              </w:rPr>
              <w:t>必要。</w:t>
            </w:r>
          </w:p>
          <w:p w:rsidR="002701A0" w:rsidRDefault="003D5D10">
            <w:pPr>
              <w:pStyle w:val="Standard"/>
            </w:pPr>
            <w:r>
              <w:rPr>
                <w:rFonts w:ascii="標楷體" w:eastAsia="標楷體" w:hAnsi="標楷體" w:cs="細明體"/>
                <w:kern w:val="0"/>
                <w:szCs w:val="24"/>
              </w:rPr>
              <w:t>教師有前項第一款或第二款規定情形之一者，應經教師評審委員會委員二分之一以上出席及出席委員二分之一以上之審議通過，並報主管機關核准後，予以解聘。</w:t>
            </w:r>
          </w:p>
          <w:p w:rsidR="002701A0" w:rsidRDefault="003D5D10">
            <w:pPr>
              <w:pStyle w:val="Standard"/>
            </w:pPr>
            <w:r>
              <w:rPr>
                <w:rFonts w:ascii="標楷體" w:eastAsia="標楷體" w:hAnsi="標楷體" w:cs="細明體"/>
                <w:kern w:val="0"/>
                <w:szCs w:val="24"/>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16</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教師聘任後，有下列各款情形之一者，應經教師評審委員會審議通過，並報主管機關核准後，予以解聘或不續聘；其情節以資遣為宜者，應依第二十七條規定辦理：</w:t>
            </w:r>
          </w:p>
          <w:p w:rsidR="002701A0" w:rsidRDefault="003D5D10">
            <w:pPr>
              <w:pStyle w:val="Standard"/>
            </w:pPr>
            <w:r>
              <w:rPr>
                <w:rFonts w:ascii="標楷體" w:eastAsia="標楷體" w:hAnsi="標楷體" w:cs="細明體"/>
                <w:kern w:val="0"/>
                <w:szCs w:val="24"/>
              </w:rPr>
              <w:t>一、教學不力或不能勝任工作有具體事實。</w:t>
            </w:r>
          </w:p>
          <w:p w:rsidR="002701A0" w:rsidRDefault="003D5D10">
            <w:pPr>
              <w:pStyle w:val="Standard"/>
            </w:pPr>
            <w:r>
              <w:rPr>
                <w:rFonts w:ascii="標楷體" w:eastAsia="標楷體" w:hAnsi="標楷體" w:cs="細明體"/>
                <w:kern w:val="0"/>
                <w:szCs w:val="24"/>
              </w:rPr>
              <w:t>二、違反聘約情節重大。</w:t>
            </w:r>
          </w:p>
          <w:p w:rsidR="002701A0" w:rsidRDefault="003D5D10">
            <w:pPr>
              <w:pStyle w:val="Standard"/>
            </w:pPr>
            <w:r>
              <w:rPr>
                <w:rFonts w:ascii="標楷體" w:eastAsia="標楷體" w:hAnsi="標楷體" w:cs="細明體"/>
                <w:kern w:val="0"/>
                <w:szCs w:val="24"/>
              </w:rPr>
              <w:t>教師有前項各款規定情形之一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18</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教師行為違反相關法規，經學</w:t>
            </w:r>
            <w:r>
              <w:rPr>
                <w:rFonts w:ascii="標楷體" w:eastAsia="標楷體" w:hAnsi="標楷體" w:cs="細明體"/>
                <w:kern w:val="0"/>
                <w:szCs w:val="24"/>
              </w:rPr>
              <w:t>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2701A0" w:rsidRDefault="003D5D10">
            <w:pPr>
              <w:pStyle w:val="Standard"/>
            </w:pPr>
            <w:r>
              <w:rPr>
                <w:rFonts w:ascii="標楷體" w:eastAsia="標楷體" w:hAnsi="標楷體" w:cs="細明體"/>
                <w:kern w:val="0"/>
                <w:szCs w:val="24"/>
              </w:rPr>
              <w:lastRenderedPageBreak/>
              <w:t>前項停聘期間，不得申請退休、資遣或在學校任教。</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lastRenderedPageBreak/>
              <w:t>教師法第</w:t>
            </w:r>
            <w:r>
              <w:rPr>
                <w:rFonts w:ascii="標楷體" w:eastAsia="標楷體" w:hAnsi="標楷體"/>
                <w:color w:val="FF0000"/>
                <w:sz w:val="28"/>
                <w:szCs w:val="28"/>
              </w:rPr>
              <w:t>19</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有下列各款情形之一者，不得聘任為教師；已聘任者，應予以解聘：</w:t>
            </w:r>
          </w:p>
          <w:p w:rsidR="002701A0" w:rsidRDefault="003D5D10">
            <w:pPr>
              <w:pStyle w:val="Standard"/>
            </w:pPr>
            <w:r>
              <w:rPr>
                <w:rFonts w:ascii="標楷體" w:eastAsia="標楷體" w:hAnsi="標楷體" w:cs="細明體"/>
                <w:kern w:val="0"/>
                <w:szCs w:val="24"/>
              </w:rPr>
              <w:t>一、有第十四條第一項各款情形之一。</w:t>
            </w:r>
          </w:p>
          <w:p w:rsidR="002701A0" w:rsidRDefault="003D5D10">
            <w:pPr>
              <w:pStyle w:val="Standard"/>
            </w:pPr>
            <w:r>
              <w:rPr>
                <w:rFonts w:ascii="標楷體" w:eastAsia="標楷體" w:hAnsi="標楷體" w:cs="細明體"/>
                <w:kern w:val="0"/>
                <w:szCs w:val="24"/>
              </w:rPr>
              <w:t>二、有第十五條第一項各款情形之一，於該議決一年至四年期間。</w:t>
            </w:r>
          </w:p>
          <w:p w:rsidR="002701A0" w:rsidRDefault="003D5D10">
            <w:pPr>
              <w:pStyle w:val="Standard"/>
            </w:pPr>
            <w:r>
              <w:rPr>
                <w:rFonts w:ascii="標楷體" w:eastAsia="標楷體" w:hAnsi="標楷體" w:cs="細明體"/>
                <w:kern w:val="0"/>
                <w:szCs w:val="24"/>
              </w:rPr>
              <w:t>有前條第一項情形者，於該停聘六個月至三年期間，其他學校不得聘任其為教師；已聘任者，應予以</w:t>
            </w:r>
            <w:r>
              <w:rPr>
                <w:rFonts w:ascii="標楷體" w:eastAsia="標楷體" w:hAnsi="標楷體" w:cs="細明體"/>
                <w:kern w:val="0"/>
                <w:szCs w:val="24"/>
              </w:rPr>
              <w:t>解聘。</w:t>
            </w:r>
          </w:p>
          <w:p w:rsidR="002701A0" w:rsidRDefault="003D5D10">
            <w:pPr>
              <w:pStyle w:val="Standard"/>
            </w:pPr>
            <w:r>
              <w:rPr>
                <w:rFonts w:ascii="標楷體" w:eastAsia="標楷體" w:hAnsi="標楷體" w:cs="細明體"/>
                <w:kern w:val="0"/>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2701A0" w:rsidRDefault="003D5D10">
            <w:pPr>
              <w:pStyle w:val="Standard"/>
            </w:pPr>
            <w:r>
              <w:rPr>
                <w:rFonts w:ascii="標楷體" w:eastAsia="標楷體" w:hAnsi="標楷體" w:cs="細明體"/>
                <w:kern w:val="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r>
              <w:rPr>
                <w:rFonts w:ascii="標楷體" w:eastAsia="標楷體" w:hAnsi="標楷體" w:cs="細明體"/>
                <w:kern w:val="0"/>
                <w:szCs w:val="24"/>
              </w:rPr>
              <w:t>。</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21</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教師有下列各款情形之一者，當然暫時予以停聘：</w:t>
            </w:r>
          </w:p>
          <w:p w:rsidR="002701A0" w:rsidRDefault="003D5D10">
            <w:pPr>
              <w:pStyle w:val="Standard"/>
            </w:pPr>
            <w:r>
              <w:rPr>
                <w:rFonts w:ascii="標楷體" w:eastAsia="標楷體" w:hAnsi="標楷體" w:cs="細明體"/>
                <w:kern w:val="0"/>
                <w:szCs w:val="24"/>
              </w:rPr>
              <w:t>一、依刑事訴訟程序被通緝或羈押。</w:t>
            </w:r>
          </w:p>
          <w:p w:rsidR="002701A0" w:rsidRDefault="003D5D10">
            <w:pPr>
              <w:pStyle w:val="Standard"/>
            </w:pPr>
            <w:r>
              <w:rPr>
                <w:rFonts w:ascii="標楷體" w:eastAsia="標楷體" w:hAnsi="標楷體" w:cs="細明體"/>
                <w:kern w:val="0"/>
                <w:szCs w:val="24"/>
              </w:rPr>
              <w:t>二、依刑事確定判決，受褫奪公權之宣告。</w:t>
            </w:r>
          </w:p>
          <w:p w:rsidR="002701A0" w:rsidRDefault="003D5D10">
            <w:pPr>
              <w:pStyle w:val="Standard"/>
            </w:pPr>
            <w:r>
              <w:rPr>
                <w:rFonts w:ascii="標楷體" w:eastAsia="標楷體" w:hAnsi="標楷體" w:cs="細明體"/>
                <w:kern w:val="0"/>
                <w:szCs w:val="24"/>
              </w:rPr>
              <w:t>三、依刑事確定判決，受徒刑之宣告，在監所執行中。</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22</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涉有下列各款情形之一者，服務學校應於知悉之日起一個月內經教師評審委員會審議通過後，免報主管機關核准，暫時予以停聘六個月以下，並靜候調查；必要時，得經教師評審委員會審議通過後，延長停聘期間二次，每次不得逾三個月。經調查屬實者，於報主管機關後，至主管機關核准及學校解聘前，應予停聘，免經教師評審委員會審議：</w:t>
            </w:r>
          </w:p>
          <w:p w:rsidR="002701A0" w:rsidRDefault="003D5D10">
            <w:pPr>
              <w:pStyle w:val="Standard"/>
            </w:pPr>
            <w:r>
              <w:rPr>
                <w:rFonts w:ascii="標楷體" w:eastAsia="標楷體" w:hAnsi="標楷體" w:cs="細明體"/>
                <w:kern w:val="0"/>
                <w:szCs w:val="24"/>
              </w:rPr>
              <w:t>一、第十四條第一項第四款至第六款情形。</w:t>
            </w:r>
          </w:p>
          <w:p w:rsidR="002701A0" w:rsidRDefault="003D5D10">
            <w:pPr>
              <w:pStyle w:val="Standard"/>
            </w:pPr>
            <w:r>
              <w:rPr>
                <w:rFonts w:ascii="標楷體" w:eastAsia="標楷體" w:hAnsi="標楷體" w:cs="細明體"/>
                <w:kern w:val="0"/>
                <w:szCs w:val="24"/>
              </w:rPr>
              <w:t>二、第十五條第一項第一款或第二款情形。</w:t>
            </w:r>
          </w:p>
          <w:p w:rsidR="002701A0" w:rsidRDefault="003D5D10">
            <w:pPr>
              <w:pStyle w:val="Standard"/>
            </w:pPr>
            <w:r>
              <w:rPr>
                <w:rFonts w:ascii="標楷體" w:eastAsia="標楷體" w:hAnsi="標楷體" w:cs="細明體"/>
                <w:kern w:val="0"/>
                <w:szCs w:val="24"/>
              </w:rPr>
              <w:t>教師涉有下列各款情形之一，服務學校認為有先行停聘進行調查之必要者，應經教師評審委員會審議通過，免報主管機關核准，暫時予以停聘三個月以下；必要時得經教師評審委員會審議通過後，延長停聘期間一次，且不得逾三個月。經調查屬實者，於報主管機關後，至主管機關核准及學校解聘前，得經教師評審委員會審議通過後，予以停聘：</w:t>
            </w:r>
          </w:p>
          <w:p w:rsidR="002701A0" w:rsidRDefault="003D5D10">
            <w:pPr>
              <w:pStyle w:val="Standard"/>
            </w:pPr>
            <w:r>
              <w:rPr>
                <w:rFonts w:ascii="標楷體" w:eastAsia="標楷體" w:hAnsi="標楷體" w:cs="細明體"/>
                <w:kern w:val="0"/>
                <w:szCs w:val="24"/>
              </w:rPr>
              <w:t>一、第十四條第一項第七款至第十一款情形。</w:t>
            </w:r>
          </w:p>
          <w:p w:rsidR="002701A0" w:rsidRDefault="003D5D10">
            <w:pPr>
              <w:pStyle w:val="Standard"/>
            </w:pPr>
            <w:r>
              <w:rPr>
                <w:rFonts w:ascii="標楷體" w:eastAsia="標楷體" w:hAnsi="標楷體" w:cs="細明體"/>
                <w:kern w:val="0"/>
                <w:szCs w:val="24"/>
              </w:rPr>
              <w:t>二、第十五條第一項第三款至第五款情形。</w:t>
            </w:r>
          </w:p>
          <w:p w:rsidR="002701A0" w:rsidRDefault="003D5D10">
            <w:pPr>
              <w:pStyle w:val="Standard"/>
            </w:pPr>
            <w:r>
              <w:rPr>
                <w:rFonts w:ascii="標楷體" w:eastAsia="標楷體" w:hAnsi="標楷體" w:cs="細明體"/>
                <w:kern w:val="0"/>
                <w:szCs w:val="24"/>
              </w:rPr>
              <w:t>前二項情形應經教師評審委員會委員二分之一以上出席及出席委員二分之一以上之審議通過。</w:t>
            </w:r>
          </w:p>
        </w:tc>
      </w:tr>
      <w:tr w:rsidR="002701A0">
        <w:tblPrEx>
          <w:tblCellMar>
            <w:top w:w="0" w:type="dxa"/>
            <w:bottom w:w="0" w:type="dxa"/>
          </w:tblCellMar>
        </w:tblPrEx>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spacing w:line="440" w:lineRule="exact"/>
            </w:pPr>
            <w:r>
              <w:rPr>
                <w:rFonts w:ascii="標楷體" w:eastAsia="標楷體" w:hAnsi="標楷體"/>
                <w:color w:val="FF0000"/>
                <w:sz w:val="28"/>
                <w:szCs w:val="28"/>
              </w:rPr>
              <w:t>教師法第</w:t>
            </w:r>
            <w:r>
              <w:rPr>
                <w:rFonts w:ascii="標楷體" w:eastAsia="標楷體" w:hAnsi="標楷體"/>
                <w:color w:val="FF0000"/>
                <w:sz w:val="28"/>
                <w:szCs w:val="28"/>
              </w:rPr>
              <w:t>27</w:t>
            </w:r>
            <w:r>
              <w:rPr>
                <w:rFonts w:ascii="標楷體" w:eastAsia="標楷體" w:hAnsi="標楷體"/>
                <w:color w:val="FF0000"/>
                <w:sz w:val="28"/>
                <w:szCs w:val="28"/>
              </w:rPr>
              <w:t>條</w:t>
            </w:r>
          </w:p>
        </w:tc>
        <w:tc>
          <w:tcPr>
            <w:tcW w:w="9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701A0" w:rsidRDefault="003D5D10">
            <w:pPr>
              <w:pStyle w:val="Standard"/>
            </w:pPr>
            <w:r>
              <w:rPr>
                <w:rFonts w:ascii="標楷體" w:eastAsia="標楷體" w:hAnsi="標楷體" w:cs="細明體"/>
                <w:kern w:val="0"/>
                <w:szCs w:val="24"/>
              </w:rPr>
              <w:t>教師有下列各款情事之一</w:t>
            </w:r>
            <w:r>
              <w:rPr>
                <w:rFonts w:ascii="標楷體" w:eastAsia="標楷體" w:hAnsi="標楷體" w:cs="細明體"/>
                <w:kern w:val="0"/>
                <w:szCs w:val="24"/>
              </w:rPr>
              <w:t>者，應經教師評審委員會審議通過，並報主管機關核准後，得予以資遣：</w:t>
            </w:r>
          </w:p>
          <w:p w:rsidR="002701A0" w:rsidRDefault="003D5D10">
            <w:pPr>
              <w:pStyle w:val="Standard"/>
            </w:pPr>
            <w:r>
              <w:rPr>
                <w:rFonts w:ascii="標楷體" w:eastAsia="標楷體" w:hAnsi="標楷體" w:cs="細明體"/>
                <w:kern w:val="0"/>
                <w:szCs w:val="24"/>
              </w:rPr>
              <w:t>一、因系、所、科、組、課程調整或學校減班、停辦、解散時，現職已無工作又無其他</w:t>
            </w:r>
            <w:r>
              <w:rPr>
                <w:rFonts w:ascii="標楷體" w:eastAsia="標楷體" w:hAnsi="標楷體" w:cs="細明體"/>
                <w:kern w:val="0"/>
                <w:szCs w:val="24"/>
              </w:rPr>
              <w:t>適當工作可以調任。</w:t>
            </w:r>
          </w:p>
          <w:p w:rsidR="002701A0" w:rsidRDefault="003D5D10">
            <w:pPr>
              <w:pStyle w:val="Standard"/>
            </w:pPr>
            <w:r>
              <w:rPr>
                <w:rFonts w:ascii="標楷體" w:eastAsia="標楷體" w:hAnsi="標楷體" w:cs="細明體"/>
                <w:kern w:val="0"/>
                <w:szCs w:val="24"/>
              </w:rPr>
              <w:t>二、現職工作不適任且無其他工作可調任；或經中央衛生主管機關評鑑合格之醫院證明</w:t>
            </w:r>
            <w:bookmarkStart w:id="1" w:name="_GoBack"/>
            <w:bookmarkEnd w:id="1"/>
            <w:r>
              <w:rPr>
                <w:rFonts w:ascii="標楷體" w:eastAsia="標楷體" w:hAnsi="標楷體" w:cs="細明體"/>
                <w:kern w:val="0"/>
                <w:szCs w:val="24"/>
              </w:rPr>
              <w:t>身體衰弱不能勝任工作。</w:t>
            </w:r>
          </w:p>
          <w:p w:rsidR="002701A0" w:rsidRDefault="003D5D10">
            <w:pPr>
              <w:pStyle w:val="Standard"/>
            </w:pPr>
            <w:r>
              <w:rPr>
                <w:rFonts w:ascii="標楷體" w:eastAsia="標楷體" w:hAnsi="標楷體" w:cs="細明體"/>
                <w:kern w:val="0"/>
                <w:szCs w:val="24"/>
              </w:rPr>
              <w:t>三、受監護宣告或輔助宣告，尚未撤銷。</w:t>
            </w:r>
          </w:p>
          <w:p w:rsidR="002701A0" w:rsidRDefault="003D5D10">
            <w:pPr>
              <w:pStyle w:val="Standard"/>
            </w:pPr>
            <w:r>
              <w:rPr>
                <w:rFonts w:ascii="標楷體" w:eastAsia="標楷體" w:hAnsi="標楷體" w:cs="細明體"/>
                <w:kern w:val="0"/>
                <w:szCs w:val="24"/>
              </w:rPr>
              <w:t>符合退休資格之教師有前項各款情形之一，經核准資遣者，得於資遣確定之日起一個月內依規定申請辦理退休，並以原核准資遣生效日為退休生效日。</w:t>
            </w:r>
          </w:p>
        </w:tc>
      </w:tr>
    </w:tbl>
    <w:p w:rsidR="002701A0" w:rsidRDefault="002701A0">
      <w:pPr>
        <w:pStyle w:val="Standard"/>
        <w:spacing w:line="440" w:lineRule="exact"/>
        <w:rPr>
          <w:rFonts w:ascii="標楷體" w:eastAsia="標楷體" w:hAnsi="標楷體"/>
          <w:sz w:val="28"/>
          <w:szCs w:val="28"/>
        </w:rPr>
      </w:pPr>
    </w:p>
    <w:p w:rsidR="002701A0" w:rsidRDefault="002701A0">
      <w:pPr>
        <w:pStyle w:val="Textbody"/>
      </w:pPr>
    </w:p>
    <w:sectPr w:rsidR="002701A0">
      <w:pgSz w:w="11906" w:h="16838"/>
      <w:pgMar w:top="680" w:right="680" w:bottom="6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D5D10">
      <w:r>
        <w:separator/>
      </w:r>
    </w:p>
  </w:endnote>
  <w:endnote w:type="continuationSeparator" w:id="0">
    <w:p w:rsidR="00000000" w:rsidRDefault="003D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D5D10">
      <w:r>
        <w:rPr>
          <w:color w:val="000000"/>
        </w:rPr>
        <w:separator/>
      </w:r>
    </w:p>
  </w:footnote>
  <w:footnote w:type="continuationSeparator" w:id="0">
    <w:p w:rsidR="00000000" w:rsidRDefault="003D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5B9"/>
    <w:multiLevelType w:val="multilevel"/>
    <w:tmpl w:val="8E5E5936"/>
    <w:styleLink w:val="WWNum11"/>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1" w15:restartNumberingAfterBreak="0">
    <w:nsid w:val="086966C7"/>
    <w:multiLevelType w:val="multilevel"/>
    <w:tmpl w:val="4D9857EC"/>
    <w:styleLink w:val="WWNum6"/>
    <w:lvl w:ilvl="0">
      <w:start w:val="1"/>
      <w:numFmt w:val="decimal"/>
      <w:lvlText w:val="%1."/>
      <w:lvlJc w:val="left"/>
      <w:pPr>
        <w:ind w:left="1601" w:hanging="48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2" w15:restartNumberingAfterBreak="0">
    <w:nsid w:val="14095F82"/>
    <w:multiLevelType w:val="multilevel"/>
    <w:tmpl w:val="A6605F9A"/>
    <w:styleLink w:val="WWNum1"/>
    <w:lvl w:ilvl="0">
      <w:start w:val="1"/>
      <w:numFmt w:val="japaneseCounting"/>
      <w:lvlText w:val="%1、"/>
      <w:lvlJc w:val="left"/>
      <w:pPr>
        <w:ind w:left="720" w:hanging="720"/>
      </w:pPr>
      <w:rPr>
        <w:rFonts w:eastAsia="標楷體" w:cs="Times New Roman"/>
      </w:rPr>
    </w:lvl>
    <w:lvl w:ilvl="1">
      <w:start w:val="1"/>
      <w:numFmt w:val="japaneseCounting"/>
      <w:lvlText w:val="（%2）"/>
      <w:lvlJc w:val="left"/>
      <w:pPr>
        <w:ind w:left="6981" w:hanging="885"/>
      </w:pPr>
      <w:rPr>
        <w:rFonts w:cs="Times New Roman"/>
        <w:lang w:val="en-US"/>
      </w:rPr>
    </w:lvl>
    <w:lvl w:ilvl="2">
      <w:start w:val="1"/>
      <w:numFmt w:val="japaneseCounting"/>
      <w:lvlText w:val="（%3）"/>
      <w:lvlJc w:val="left"/>
      <w:pPr>
        <w:ind w:left="1680" w:hanging="720"/>
      </w:pPr>
    </w:lvl>
    <w:lvl w:ilvl="3">
      <w:start w:val="1"/>
      <w:numFmt w:val="decimal"/>
      <w:lvlText w:val="%4、"/>
      <w:lvlJc w:val="left"/>
      <w:pPr>
        <w:ind w:left="4797" w:hanging="1395"/>
      </w:p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15:restartNumberingAfterBreak="0">
    <w:nsid w:val="18263143"/>
    <w:multiLevelType w:val="multilevel"/>
    <w:tmpl w:val="35320D5E"/>
    <w:styleLink w:val="WWNum5"/>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4" w15:restartNumberingAfterBreak="0">
    <w:nsid w:val="321747D6"/>
    <w:multiLevelType w:val="multilevel"/>
    <w:tmpl w:val="2B3E3B34"/>
    <w:styleLink w:val="WWNum7"/>
    <w:lvl w:ilvl="0">
      <w:start w:val="3"/>
      <w:numFmt w:val="japaneseCounting"/>
      <w:lvlText w:val="（%1）"/>
      <w:lvlJc w:val="left"/>
      <w:pPr>
        <w:ind w:left="480" w:hanging="480"/>
      </w:pPr>
      <w:rPr>
        <w:rFonts w:cs="Times New Roman"/>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9C1555D"/>
    <w:multiLevelType w:val="multilevel"/>
    <w:tmpl w:val="354AA018"/>
    <w:styleLink w:val="WWNum4"/>
    <w:lvl w:ilvl="0">
      <w:start w:val="1"/>
      <w:numFmt w:val="japaneseCounting"/>
      <w:lvlText w:val="（%1）"/>
      <w:lvlJc w:val="left"/>
      <w:pPr>
        <w:ind w:left="1190" w:hanging="480"/>
      </w:pPr>
      <w:rPr>
        <w:rFonts w:cs="Times New Roman"/>
        <w:b w:val="0"/>
        <w:lang w:val="en-US"/>
      </w:rPr>
    </w:lvl>
    <w:lvl w:ilvl="1">
      <w:start w:val="1"/>
      <w:numFmt w:val="ideographTraditional"/>
      <w:lvlText w:val="%2、"/>
      <w:lvlJc w:val="left"/>
      <w:pPr>
        <w:ind w:left="2945" w:hanging="480"/>
      </w:pPr>
      <w:rPr>
        <w:rFonts w:cs="Times New Roman"/>
      </w:rPr>
    </w:lvl>
    <w:lvl w:ilvl="2">
      <w:start w:val="1"/>
      <w:numFmt w:val="lowerRoman"/>
      <w:lvlText w:val="%3."/>
      <w:lvlJc w:val="right"/>
      <w:pPr>
        <w:ind w:left="3425" w:hanging="480"/>
      </w:pPr>
      <w:rPr>
        <w:rFonts w:cs="Times New Roman"/>
      </w:rPr>
    </w:lvl>
    <w:lvl w:ilvl="3">
      <w:start w:val="1"/>
      <w:numFmt w:val="decimal"/>
      <w:lvlText w:val="%4."/>
      <w:lvlJc w:val="left"/>
      <w:pPr>
        <w:ind w:left="3905" w:hanging="480"/>
      </w:pPr>
      <w:rPr>
        <w:rFonts w:cs="Times New Roman"/>
      </w:rPr>
    </w:lvl>
    <w:lvl w:ilvl="4">
      <w:start w:val="1"/>
      <w:numFmt w:val="ideographTraditional"/>
      <w:lvlText w:val="%5、"/>
      <w:lvlJc w:val="left"/>
      <w:pPr>
        <w:ind w:left="4385" w:hanging="480"/>
      </w:pPr>
      <w:rPr>
        <w:rFonts w:cs="Times New Roman"/>
      </w:rPr>
    </w:lvl>
    <w:lvl w:ilvl="5">
      <w:start w:val="1"/>
      <w:numFmt w:val="lowerRoman"/>
      <w:lvlText w:val="%6."/>
      <w:lvlJc w:val="right"/>
      <w:pPr>
        <w:ind w:left="4865" w:hanging="480"/>
      </w:pPr>
      <w:rPr>
        <w:rFonts w:cs="Times New Roman"/>
      </w:rPr>
    </w:lvl>
    <w:lvl w:ilvl="6">
      <w:start w:val="1"/>
      <w:numFmt w:val="decimal"/>
      <w:lvlText w:val="%7."/>
      <w:lvlJc w:val="left"/>
      <w:pPr>
        <w:ind w:left="5345" w:hanging="480"/>
      </w:pPr>
      <w:rPr>
        <w:rFonts w:cs="Times New Roman"/>
      </w:rPr>
    </w:lvl>
    <w:lvl w:ilvl="7">
      <w:start w:val="1"/>
      <w:numFmt w:val="ideographTraditional"/>
      <w:lvlText w:val="%8、"/>
      <w:lvlJc w:val="left"/>
      <w:pPr>
        <w:ind w:left="5825" w:hanging="480"/>
      </w:pPr>
      <w:rPr>
        <w:rFonts w:cs="Times New Roman"/>
      </w:rPr>
    </w:lvl>
    <w:lvl w:ilvl="8">
      <w:start w:val="1"/>
      <w:numFmt w:val="lowerRoman"/>
      <w:lvlText w:val="%9."/>
      <w:lvlJc w:val="right"/>
      <w:pPr>
        <w:ind w:left="6305" w:hanging="480"/>
      </w:pPr>
      <w:rPr>
        <w:rFonts w:cs="Times New Roman"/>
      </w:rPr>
    </w:lvl>
  </w:abstractNum>
  <w:abstractNum w:abstractNumId="6" w15:restartNumberingAfterBreak="0">
    <w:nsid w:val="571C1A8C"/>
    <w:multiLevelType w:val="multilevel"/>
    <w:tmpl w:val="4AFAB7E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7C43A97"/>
    <w:multiLevelType w:val="multilevel"/>
    <w:tmpl w:val="F9C6C52E"/>
    <w:styleLink w:val="WWNum10"/>
    <w:lvl w:ilvl="0">
      <w:numFmt w:val="bullet"/>
      <w:lvlText w:val="※"/>
      <w:lvlJc w:val="left"/>
      <w:pPr>
        <w:ind w:left="1621" w:hanging="360"/>
      </w:pPr>
      <w:rPr>
        <w:rFonts w:eastAsia="標楷體" w:cs="Times New Roman"/>
        <w:color w:val="auto"/>
        <w:lang w:val="en-US"/>
      </w:rPr>
    </w:lvl>
    <w:lvl w:ilvl="1">
      <w:numFmt w:val="bullet"/>
      <w:lvlText w:val=""/>
      <w:lvlJc w:val="left"/>
      <w:pPr>
        <w:ind w:left="2221" w:hanging="480"/>
      </w:pPr>
    </w:lvl>
    <w:lvl w:ilvl="2">
      <w:numFmt w:val="bullet"/>
      <w:lvlText w:val=""/>
      <w:lvlJc w:val="left"/>
      <w:pPr>
        <w:ind w:left="2701" w:hanging="480"/>
      </w:pPr>
    </w:lvl>
    <w:lvl w:ilvl="3">
      <w:numFmt w:val="bullet"/>
      <w:lvlText w:val=""/>
      <w:lvlJc w:val="left"/>
      <w:pPr>
        <w:ind w:left="3181" w:hanging="480"/>
      </w:pPr>
    </w:lvl>
    <w:lvl w:ilvl="4">
      <w:numFmt w:val="bullet"/>
      <w:lvlText w:val=""/>
      <w:lvlJc w:val="left"/>
      <w:pPr>
        <w:ind w:left="3661" w:hanging="480"/>
      </w:pPr>
    </w:lvl>
    <w:lvl w:ilvl="5">
      <w:numFmt w:val="bullet"/>
      <w:lvlText w:val=""/>
      <w:lvlJc w:val="left"/>
      <w:pPr>
        <w:ind w:left="4141" w:hanging="480"/>
      </w:pPr>
    </w:lvl>
    <w:lvl w:ilvl="6">
      <w:numFmt w:val="bullet"/>
      <w:lvlText w:val=""/>
      <w:lvlJc w:val="left"/>
      <w:pPr>
        <w:ind w:left="4621" w:hanging="480"/>
      </w:pPr>
    </w:lvl>
    <w:lvl w:ilvl="7">
      <w:numFmt w:val="bullet"/>
      <w:lvlText w:val=""/>
      <w:lvlJc w:val="left"/>
      <w:pPr>
        <w:ind w:left="5101" w:hanging="480"/>
      </w:pPr>
    </w:lvl>
    <w:lvl w:ilvl="8">
      <w:numFmt w:val="bullet"/>
      <w:lvlText w:val=""/>
      <w:lvlJc w:val="left"/>
      <w:pPr>
        <w:ind w:left="5581" w:hanging="480"/>
      </w:pPr>
    </w:lvl>
  </w:abstractNum>
  <w:abstractNum w:abstractNumId="8" w15:restartNumberingAfterBreak="0">
    <w:nsid w:val="5FF87ED6"/>
    <w:multiLevelType w:val="multilevel"/>
    <w:tmpl w:val="5BE48FD8"/>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B85461"/>
    <w:multiLevelType w:val="multilevel"/>
    <w:tmpl w:val="C4D848F0"/>
    <w:styleLink w:val="WWNum13"/>
    <w:lvl w:ilvl="0">
      <w:start w:val="1"/>
      <w:numFmt w:val="decimal"/>
      <w:lvlText w:val="%1."/>
      <w:lvlJc w:val="left"/>
      <w:pPr>
        <w:ind w:left="1481" w:hanging="360"/>
      </w:pPr>
      <w:rPr>
        <w:rFonts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3DD249E"/>
    <w:multiLevelType w:val="multilevel"/>
    <w:tmpl w:val="D9A04EB2"/>
    <w:styleLink w:val="WWNum3"/>
    <w:lvl w:ilvl="0">
      <w:start w:val="1"/>
      <w:numFmt w:val="japaneseCounting"/>
      <w:lvlText w:val="（%1）"/>
      <w:lvlJc w:val="left"/>
      <w:pPr>
        <w:ind w:left="4689" w:hanging="720"/>
      </w:pPr>
      <w:rPr>
        <w:rFonts w:cs="Times New Roman"/>
        <w:b w:val="0"/>
      </w:rPr>
    </w:lvl>
    <w:lvl w:ilvl="1">
      <w:start w:val="1"/>
      <w:numFmt w:val="japaneseCounting"/>
      <w:lvlText w:val="%2、"/>
      <w:lvlJc w:val="left"/>
      <w:pPr>
        <w:ind w:left="960" w:hanging="480"/>
      </w:p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75A03F0D"/>
    <w:multiLevelType w:val="multilevel"/>
    <w:tmpl w:val="3DAC7070"/>
    <w:styleLink w:val="WWNum2"/>
    <w:lvl w:ilvl="0">
      <w:start w:val="1"/>
      <w:numFmt w:val="decimal"/>
      <w:lvlText w:val="%1."/>
      <w:lvlJc w:val="left"/>
      <w:pPr>
        <w:ind w:left="1201" w:hanging="360"/>
      </w:pPr>
      <w:rPr>
        <w:rFonts w:cs="Times New Roman"/>
      </w:rPr>
    </w:lvl>
    <w:lvl w:ilvl="1">
      <w:start w:val="1"/>
      <w:numFmt w:val="japaneseCounting"/>
      <w:lvlText w:val="（%2）"/>
      <w:lvlJc w:val="left"/>
      <w:pPr>
        <w:ind w:left="1624" w:hanging="915"/>
      </w:pPr>
      <w:rPr>
        <w:rFonts w:cs="Times New Roman"/>
      </w:rPr>
    </w:lvl>
    <w:lvl w:ilvl="2">
      <w:start w:val="1"/>
      <w:numFmt w:val="lowerRoman"/>
      <w:lvlText w:val="%3."/>
      <w:lvlJc w:val="right"/>
      <w:pPr>
        <w:ind w:left="2281" w:hanging="480"/>
      </w:pPr>
      <w:rPr>
        <w:rFonts w:cs="Times New Roman"/>
      </w:rPr>
    </w:lvl>
    <w:lvl w:ilvl="3">
      <w:start w:val="1"/>
      <w:numFmt w:val="decimal"/>
      <w:lvlText w:val="%4."/>
      <w:lvlJc w:val="left"/>
      <w:pPr>
        <w:ind w:left="2761" w:hanging="480"/>
      </w:pPr>
      <w:rPr>
        <w:rFonts w:cs="Times New Roman"/>
      </w:rPr>
    </w:lvl>
    <w:lvl w:ilvl="4">
      <w:start w:val="1"/>
      <w:numFmt w:val="ideographTraditional"/>
      <w:lvlText w:val="%5、"/>
      <w:lvlJc w:val="left"/>
      <w:pPr>
        <w:ind w:left="3241" w:hanging="480"/>
      </w:pPr>
      <w:rPr>
        <w:rFonts w:cs="Times New Roman"/>
      </w:rPr>
    </w:lvl>
    <w:lvl w:ilvl="5">
      <w:start w:val="1"/>
      <w:numFmt w:val="lowerRoman"/>
      <w:lvlText w:val="%6."/>
      <w:lvlJc w:val="right"/>
      <w:pPr>
        <w:ind w:left="3721" w:hanging="480"/>
      </w:pPr>
      <w:rPr>
        <w:rFonts w:cs="Times New Roman"/>
      </w:rPr>
    </w:lvl>
    <w:lvl w:ilvl="6">
      <w:start w:val="1"/>
      <w:numFmt w:val="decimal"/>
      <w:lvlText w:val="%7."/>
      <w:lvlJc w:val="left"/>
      <w:pPr>
        <w:ind w:left="4201" w:hanging="480"/>
      </w:pPr>
      <w:rPr>
        <w:rFonts w:cs="Times New Roman"/>
      </w:rPr>
    </w:lvl>
    <w:lvl w:ilvl="7">
      <w:start w:val="1"/>
      <w:numFmt w:val="ideographTraditional"/>
      <w:lvlText w:val="%8、"/>
      <w:lvlJc w:val="left"/>
      <w:pPr>
        <w:ind w:left="4681" w:hanging="480"/>
      </w:pPr>
      <w:rPr>
        <w:rFonts w:cs="Times New Roman"/>
      </w:rPr>
    </w:lvl>
    <w:lvl w:ilvl="8">
      <w:start w:val="1"/>
      <w:numFmt w:val="lowerRoman"/>
      <w:lvlText w:val="%9."/>
      <w:lvlJc w:val="right"/>
      <w:pPr>
        <w:ind w:left="5161" w:hanging="480"/>
      </w:pPr>
      <w:rPr>
        <w:rFonts w:cs="Times New Roman"/>
      </w:rPr>
    </w:lvl>
  </w:abstractNum>
  <w:abstractNum w:abstractNumId="12" w15:restartNumberingAfterBreak="0">
    <w:nsid w:val="775A17B5"/>
    <w:multiLevelType w:val="multilevel"/>
    <w:tmpl w:val="3D3C9FA4"/>
    <w:styleLink w:val="WWNum12"/>
    <w:lvl w:ilvl="0">
      <w:start w:val="1"/>
      <w:numFmt w:val="decimal"/>
      <w:lvlText w:val="%1."/>
      <w:lvlJc w:val="left"/>
      <w:pPr>
        <w:ind w:left="1481" w:hanging="360"/>
      </w:pPr>
      <w:rPr>
        <w:rFonts w:cs="Times New Roman"/>
      </w:rPr>
    </w:lvl>
    <w:lvl w:ilvl="1">
      <w:start w:val="1"/>
      <w:numFmt w:val="ideographTraditional"/>
      <w:lvlText w:val="%2、"/>
      <w:lvlJc w:val="left"/>
      <w:pPr>
        <w:ind w:left="2081" w:hanging="480"/>
      </w:pPr>
      <w:rPr>
        <w:rFonts w:cs="Times New Roman"/>
      </w:rPr>
    </w:lvl>
    <w:lvl w:ilvl="2">
      <w:start w:val="1"/>
      <w:numFmt w:val="lowerRoman"/>
      <w:lvlText w:val="%3."/>
      <w:lvlJc w:val="right"/>
      <w:pPr>
        <w:ind w:left="2561" w:hanging="480"/>
      </w:pPr>
      <w:rPr>
        <w:rFonts w:cs="Times New Roman"/>
      </w:rPr>
    </w:lvl>
    <w:lvl w:ilvl="3">
      <w:start w:val="1"/>
      <w:numFmt w:val="decimal"/>
      <w:lvlText w:val="%4."/>
      <w:lvlJc w:val="left"/>
      <w:pPr>
        <w:ind w:left="3041" w:hanging="480"/>
      </w:pPr>
      <w:rPr>
        <w:rFonts w:cs="Times New Roman"/>
      </w:rPr>
    </w:lvl>
    <w:lvl w:ilvl="4">
      <w:start w:val="1"/>
      <w:numFmt w:val="ideographTraditional"/>
      <w:lvlText w:val="%5、"/>
      <w:lvlJc w:val="left"/>
      <w:pPr>
        <w:ind w:left="3521" w:hanging="480"/>
      </w:pPr>
      <w:rPr>
        <w:rFonts w:cs="Times New Roman"/>
      </w:rPr>
    </w:lvl>
    <w:lvl w:ilvl="5">
      <w:start w:val="1"/>
      <w:numFmt w:val="lowerRoman"/>
      <w:lvlText w:val="%6."/>
      <w:lvlJc w:val="right"/>
      <w:pPr>
        <w:ind w:left="4001" w:hanging="480"/>
      </w:pPr>
      <w:rPr>
        <w:rFonts w:cs="Times New Roman"/>
      </w:rPr>
    </w:lvl>
    <w:lvl w:ilvl="6">
      <w:start w:val="1"/>
      <w:numFmt w:val="decimal"/>
      <w:lvlText w:val="%7."/>
      <w:lvlJc w:val="left"/>
      <w:pPr>
        <w:ind w:left="4481" w:hanging="480"/>
      </w:pPr>
      <w:rPr>
        <w:rFonts w:cs="Times New Roman"/>
      </w:rPr>
    </w:lvl>
    <w:lvl w:ilvl="7">
      <w:start w:val="1"/>
      <w:numFmt w:val="ideographTraditional"/>
      <w:lvlText w:val="%8、"/>
      <w:lvlJc w:val="left"/>
      <w:pPr>
        <w:ind w:left="4961" w:hanging="480"/>
      </w:pPr>
      <w:rPr>
        <w:rFonts w:cs="Times New Roman"/>
      </w:rPr>
    </w:lvl>
    <w:lvl w:ilvl="8">
      <w:start w:val="1"/>
      <w:numFmt w:val="lowerRoman"/>
      <w:lvlText w:val="%9."/>
      <w:lvlJc w:val="right"/>
      <w:pPr>
        <w:ind w:left="5441" w:hanging="480"/>
      </w:pPr>
      <w:rPr>
        <w:rFonts w:cs="Times New Roman"/>
      </w:rPr>
    </w:lvl>
  </w:abstractNum>
  <w:abstractNum w:abstractNumId="13" w15:restartNumberingAfterBreak="0">
    <w:nsid w:val="79697C7F"/>
    <w:multiLevelType w:val="multilevel"/>
    <w:tmpl w:val="C604FEBA"/>
    <w:styleLink w:val="WWNum9"/>
    <w:lvl w:ilvl="0">
      <w:start w:val="1"/>
      <w:numFmt w:val="japaneseCounting"/>
      <w:lvlText w:val="%1、"/>
      <w:lvlJc w:val="left"/>
      <w:pPr>
        <w:ind w:left="720" w:hanging="720"/>
      </w:pPr>
      <w:rPr>
        <w:rFonts w:eastAsia="標楷體" w:cs="Times New Roman"/>
      </w:rPr>
    </w:lvl>
    <w:lvl w:ilvl="1">
      <w:start w:val="1"/>
      <w:numFmt w:val="japaneseCounting"/>
      <w:lvlText w:val="（%2）"/>
      <w:lvlJc w:val="left"/>
      <w:pPr>
        <w:ind w:left="1452" w:hanging="885"/>
      </w:pPr>
      <w:rPr>
        <w:rFonts w:cs="Times New Roman"/>
        <w:lang w:val="en-US"/>
      </w:rPr>
    </w:lvl>
    <w:lvl w:ilvl="2">
      <w:start w:val="1"/>
      <w:numFmt w:val="japaneseCounting"/>
      <w:lvlText w:val="（%3）"/>
      <w:lvlJc w:val="left"/>
      <w:pPr>
        <w:ind w:left="1680" w:hanging="720"/>
      </w:pPr>
    </w:lvl>
    <w:lvl w:ilvl="3">
      <w:start w:val="1"/>
      <w:numFmt w:val="decimal"/>
      <w:lvlText w:val="%4、"/>
      <w:lvlJc w:val="left"/>
      <w:pPr>
        <w:ind w:left="3380" w:hanging="1395"/>
      </w:p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6"/>
  </w:num>
  <w:num w:numId="2">
    <w:abstractNumId w:val="2"/>
  </w:num>
  <w:num w:numId="3">
    <w:abstractNumId w:val="11"/>
  </w:num>
  <w:num w:numId="4">
    <w:abstractNumId w:val="10"/>
  </w:num>
  <w:num w:numId="5">
    <w:abstractNumId w:val="5"/>
  </w:num>
  <w:num w:numId="6">
    <w:abstractNumId w:val="3"/>
  </w:num>
  <w:num w:numId="7">
    <w:abstractNumId w:val="1"/>
  </w:num>
  <w:num w:numId="8">
    <w:abstractNumId w:val="4"/>
  </w:num>
  <w:num w:numId="9">
    <w:abstractNumId w:val="8"/>
  </w:num>
  <w:num w:numId="10">
    <w:abstractNumId w:val="13"/>
  </w:num>
  <w:num w:numId="11">
    <w:abstractNumId w:val="7"/>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701A0"/>
    <w:rsid w:val="002701A0"/>
    <w:rsid w:val="003D5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1C7AB45-0A51-4158-92CE-C63090E2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Standard"/>
    <w:next w:val="Standard"/>
    <w:pPr>
      <w:keepNext/>
      <w:spacing w:line="720" w:lineRule="auto"/>
      <w:outlineLvl w:val="1"/>
    </w:pPr>
    <w:rPr>
      <w:rFonts w:ascii="Cambria" w:hAnsi="Cambria"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rPr>
      <w:rFonts w:ascii="標楷體" w:eastAsia="標楷體" w:hAnsi="標楷體" w:cs="標楷體"/>
      <w:color w:val="000000"/>
      <w:kern w:val="0"/>
      <w:szCs w:val="24"/>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1">
    <w:name w:val="清單段落1"/>
    <w:basedOn w:val="Standard"/>
    <w:pPr>
      <w:ind w:left="480"/>
    </w:pPr>
    <w:rPr>
      <w:rFonts w:ascii="Times New Roman" w:hAnsi="Times New Roman" w:cs="Times New Roman"/>
      <w:szCs w:val="24"/>
    </w:rPr>
  </w:style>
  <w:style w:type="paragraph" w:customStyle="1" w:styleId="5">
    <w:name w:val="清單段落5"/>
    <w:basedOn w:val="Standard"/>
    <w:pPr>
      <w:ind w:left="480"/>
    </w:pPr>
    <w:rPr>
      <w:rFonts w:ascii="Times New Roman" w:hAnsi="Times New Roman" w:cs="Times New Roman"/>
      <w:szCs w:val="24"/>
    </w:rPr>
  </w:style>
  <w:style w:type="paragraph" w:customStyle="1" w:styleId="6">
    <w:name w:val="清單段落6"/>
    <w:basedOn w:val="Standard"/>
    <w:pPr>
      <w:ind w:left="480"/>
    </w:pPr>
    <w:rPr>
      <w:rFonts w:ascii="Times New Roman" w:hAnsi="Times New Roman" w:cs="Times New Roman"/>
      <w:szCs w:val="24"/>
    </w:rPr>
  </w:style>
  <w:style w:type="paragraph" w:customStyle="1" w:styleId="20">
    <w:name w:val="清單段落2"/>
    <w:basedOn w:val="Standard"/>
    <w:pPr>
      <w:ind w:left="480"/>
    </w:pPr>
    <w:rPr>
      <w:rFonts w:ascii="Times New Roman" w:hAnsi="Times New Roman" w:cs="Times New Roman"/>
      <w:szCs w:val="24"/>
    </w:rPr>
  </w:style>
  <w:style w:type="paragraph" w:styleId="3">
    <w:name w:val="Body Text Indent 3"/>
    <w:basedOn w:val="Standard"/>
    <w:pPr>
      <w:snapToGrid w:val="0"/>
      <w:spacing w:line="360" w:lineRule="auto"/>
      <w:ind w:left="1920" w:hanging="1440"/>
    </w:pPr>
    <w:rPr>
      <w:rFonts w:ascii="標楷體" w:eastAsia="標楷體" w:hAnsi="標楷體" w:cs="Times New Roman"/>
      <w:szCs w:val="20"/>
    </w:rPr>
  </w:style>
  <w:style w:type="paragraph" w:styleId="a8">
    <w:name w:val="Balloon Text"/>
    <w:basedOn w:val="Standard"/>
    <w:rPr>
      <w:rFonts w:ascii="Cambria" w:hAnsi="Cambria"/>
      <w:sz w:val="18"/>
      <w:szCs w:val="18"/>
    </w:rPr>
  </w:style>
  <w:style w:type="paragraph" w:customStyle="1" w:styleId="30">
    <w:name w:val="清單段落3"/>
    <w:basedOn w:val="Standard"/>
    <w:pPr>
      <w:ind w:left="480"/>
    </w:pPr>
    <w:rPr>
      <w:rFonts w:ascii="Times New Roman" w:hAnsi="Times New Roman" w:cs="Times New Roman"/>
      <w:szCs w:val="24"/>
    </w:rPr>
  </w:style>
  <w:style w:type="paragraph" w:styleId="a9">
    <w:name w:val="No Spacing"/>
  </w:style>
  <w:style w:type="paragraph" w:customStyle="1" w:styleId="Framecontents">
    <w:name w:val="Frame contents"/>
    <w:basedOn w:val="Standard"/>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styleId="ac">
    <w:name w:val="Emphasis"/>
    <w:basedOn w:val="a0"/>
    <w:rPr>
      <w:i/>
      <w:iCs/>
    </w:rPr>
  </w:style>
  <w:style w:type="character" w:styleId="ad">
    <w:name w:val="page number"/>
    <w:basedOn w:val="a0"/>
  </w:style>
  <w:style w:type="character" w:customStyle="1" w:styleId="31">
    <w:name w:val="本文縮排 3 字元"/>
    <w:basedOn w:val="a0"/>
    <w:rPr>
      <w:rFonts w:ascii="標楷體" w:eastAsia="標楷體" w:hAnsi="標楷體" w:cs="Times New Roman"/>
      <w:szCs w:val="20"/>
    </w:rPr>
  </w:style>
  <w:style w:type="character" w:customStyle="1" w:styleId="apple-converted-space">
    <w:name w:val="apple-converted-space"/>
  </w:style>
  <w:style w:type="character" w:customStyle="1" w:styleId="21">
    <w:name w:val="標題 2 字元"/>
    <w:basedOn w:val="a0"/>
    <w:rPr>
      <w:rFonts w:ascii="Cambria" w:eastAsia="新細明體" w:hAnsi="Cambria" w:cs="Times New Roman"/>
      <w:b/>
      <w:bCs/>
      <w:sz w:val="48"/>
      <w:szCs w:val="48"/>
    </w:rPr>
  </w:style>
  <w:style w:type="character" w:customStyle="1" w:styleId="ae">
    <w:name w:val="註解方塊文字 字元"/>
    <w:basedOn w:val="a0"/>
    <w:rPr>
      <w:rFonts w:ascii="Cambria" w:eastAsia="新細明體" w:hAnsi="Cambria" w:cs="F"/>
      <w:sz w:val="18"/>
      <w:szCs w:val="18"/>
    </w:rPr>
  </w:style>
  <w:style w:type="character" w:customStyle="1" w:styleId="af">
    <w:name w:val="本文 字元"/>
    <w:basedOn w:val="a0"/>
  </w:style>
  <w:style w:type="character" w:customStyle="1" w:styleId="ListLabel1">
    <w:name w:val="ListLabel 1"/>
    <w:rPr>
      <w:rFonts w:eastAsia="標楷體" w:cs="Times New Roman"/>
    </w:rPr>
  </w:style>
  <w:style w:type="character" w:customStyle="1" w:styleId="ListLabel2">
    <w:name w:val="ListLabel 2"/>
    <w:rPr>
      <w:rFonts w:cs="Times New Roman"/>
      <w:lang w:val="en-US"/>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b w:val="0"/>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b w:val="0"/>
      <w:lang w:val="en-US"/>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lang w:val="en-US"/>
    </w:rPr>
  </w:style>
  <w:style w:type="character" w:customStyle="1" w:styleId="ListLabel52">
    <w:name w:val="ListLabel 52"/>
    <w:rPr>
      <w:rFonts w:eastAsia="標楷體" w:cs="Times New Roman"/>
    </w:rPr>
  </w:style>
  <w:style w:type="character" w:customStyle="1" w:styleId="ListLabel53">
    <w:name w:val="ListLabel 53"/>
    <w:rPr>
      <w:rFonts w:cs="Times New Roman"/>
      <w:lang w:val="en-US"/>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eastAsia="標楷體" w:cs="Times New Roman"/>
      <w:color w:val="auto"/>
      <w:lang w:val="en-US"/>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2020-12-09T05:09:00Z</cp:lastPrinted>
  <dcterms:created xsi:type="dcterms:W3CDTF">2020-12-16T00:28:00Z</dcterms:created>
  <dcterms:modified xsi:type="dcterms:W3CDTF">2020-12-16T00:28:00Z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