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86F57A" w14:textId="6577963E" w:rsidR="00DB5695" w:rsidRDefault="00D569C6" w:rsidP="00C560E7">
      <w:pPr>
        <w:autoSpaceDE w:val="0"/>
        <w:autoSpaceDN w:val="0"/>
        <w:adjustRightInd w:val="0"/>
        <w:snapToGrid w:val="0"/>
        <w:spacing w:line="440" w:lineRule="exact"/>
        <w:jc w:val="center"/>
        <w:rPr>
          <w:rFonts w:ascii="標楷體" w:eastAsia="標楷體" w:hAnsi="標楷體"/>
          <w:b/>
          <w:bCs/>
          <w:color w:val="000000" w:themeColor="text1"/>
          <w:sz w:val="32"/>
          <w:szCs w:val="32"/>
        </w:rPr>
      </w:pPr>
      <w:r w:rsidRPr="00D569C6">
        <w:rPr>
          <w:rFonts w:ascii="標楷體" w:eastAsia="標楷體" w:hAnsi="標楷體" w:hint="eastAsia"/>
          <w:b/>
          <w:bCs/>
          <w:color w:val="000000" w:themeColor="text1"/>
          <w:sz w:val="32"/>
          <w:szCs w:val="32"/>
        </w:rPr>
        <w:t>臺南市小北E棒球場打擊練習場設置太陽光電設施公開標租案</w:t>
      </w:r>
    </w:p>
    <w:p w14:paraId="5483EDF6" w14:textId="77777777" w:rsidR="004107CE" w:rsidRPr="00CC5B8E" w:rsidRDefault="00CE2364" w:rsidP="00577636">
      <w:pPr>
        <w:autoSpaceDE w:val="0"/>
        <w:autoSpaceDN w:val="0"/>
        <w:adjustRightInd w:val="0"/>
        <w:snapToGrid w:val="0"/>
        <w:spacing w:line="440" w:lineRule="exact"/>
        <w:jc w:val="center"/>
        <w:rPr>
          <w:rFonts w:eastAsia="標楷體" w:hAnsi="標楷體"/>
          <w:b/>
          <w:bCs/>
          <w:color w:val="FF0000"/>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14:paraId="644CC963" w14:textId="77777777"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14:paraId="70D6CA28" w14:textId="77777777"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r w:rsidR="00FD3636" w:rsidRPr="00DB5695">
        <w:rPr>
          <w:rFonts w:ascii="Times New Roman" w:hAnsi="標楷體"/>
          <w:color w:val="000000" w:themeColor="text1"/>
          <w:szCs w:val="28"/>
          <w:u w:val="single"/>
        </w:rPr>
        <w:t>臺南市市有財產管理自治條例</w:t>
      </w:r>
      <w:r w:rsidR="00FD3636" w:rsidRPr="00997A4C">
        <w:rPr>
          <w:rFonts w:ascii="Times New Roman" w:hAnsi="標楷體"/>
          <w:color w:val="000000" w:themeColor="text1"/>
          <w:szCs w:val="28"/>
        </w:rPr>
        <w:t>、</w:t>
      </w:r>
      <w:r w:rsidR="00FD3636" w:rsidRPr="00DB5695">
        <w:rPr>
          <w:rFonts w:ascii="Times New Roman" w:hAnsi="標楷體"/>
          <w:color w:val="000000" w:themeColor="text1"/>
          <w:szCs w:val="28"/>
          <w:u w:val="single"/>
        </w:rPr>
        <w:t>臺南市市管公有房地設置太陽光電發電系統標租作業要點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r w:rsidR="00204E7B" w:rsidRPr="00DB5695">
        <w:rPr>
          <w:rFonts w:ascii="Times New Roman" w:hAnsi="標楷體"/>
          <w:color w:val="000000" w:themeColor="text1"/>
          <w:szCs w:val="28"/>
          <w:u w:val="single"/>
        </w:rPr>
        <w:t>臺南市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14:paraId="7B164FA6" w14:textId="77777777"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14:paraId="21FA7B88" w14:textId="77777777"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14:paraId="2161DD5C" w14:textId="77777777"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14:paraId="4275DACE"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系統設置容量：指欲裝設之太陽光電設施組列中所有模組額定功率（模組額定功率以模組標籤上標示之功率為憑）之總合。 </w:t>
      </w:r>
    </w:p>
    <w:p w14:paraId="3E57D625"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14:paraId="4ABF23F4"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瓩（kW）：千瓦，發電設備容量的計算單位；1瓩=1000瓦（Watt）。 </w:t>
      </w:r>
    </w:p>
    <w:p w14:paraId="21D331AB" w14:textId="77777777"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峰瓩（kWp）：指太陽光電發電設備設置容量計算單位，為裝設之太陽光電模組於標準狀況（太陽能模組溫度攝氏25度，空氣大氣光程 A.M.1.5，太陽日照強度1000W/㎡）28 下的最大發電量總合。 </w:t>
      </w:r>
    </w:p>
    <w:p w14:paraId="3E25216C" w14:textId="77777777"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百萬峰瓦（MWp）：等同於1000峰瓩（10</w:t>
      </w:r>
      <w:r w:rsidRPr="00997A4C">
        <w:rPr>
          <w:rFonts w:hAnsi="標楷體"/>
          <w:color w:val="000000" w:themeColor="text1"/>
          <w:position w:val="12"/>
          <w:sz w:val="20"/>
        </w:rPr>
        <w:t>3</w:t>
      </w:r>
      <w:r w:rsidRPr="00997A4C">
        <w:rPr>
          <w:rFonts w:hAnsi="標楷體"/>
          <w:color w:val="000000" w:themeColor="text1"/>
          <w:szCs w:val="28"/>
        </w:rPr>
        <w:t xml:space="preserve">kWp）/峰瓩（kWp）：指裝設的太陽電池範本在標準狀況下（即範本溫度25℃、轉換轉換效率15%）：最大發電量總和。 </w:t>
      </w:r>
    </w:p>
    <w:p w14:paraId="317FFDD5" w14:textId="77777777"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（kWp）</w:t>
      </w:r>
      <w:r w:rsidR="009B73FD" w:rsidRPr="00997A4C">
        <w:rPr>
          <w:rFonts w:hAnsi="標楷體"/>
          <w:color w:val="000000" w:themeColor="text1"/>
          <w:szCs w:val="28"/>
        </w:rPr>
        <w:t>以上</w:t>
      </w:r>
      <w:r w:rsidRPr="00997A4C">
        <w:rPr>
          <w:rFonts w:hAnsi="標楷體"/>
          <w:color w:val="000000" w:themeColor="text1"/>
          <w:szCs w:val="28"/>
        </w:rPr>
        <w:t>。</w:t>
      </w:r>
      <w:r w:rsidR="004C1DB7" w:rsidRPr="00114F95">
        <w:rPr>
          <w:rFonts w:hAnsi="標楷體"/>
          <w:szCs w:val="28"/>
        </w:rPr>
        <w:t>（例：基地面積為798平方公尺，基本系統設置容量須達6</w:t>
      </w:r>
      <w:r w:rsidR="004C1DB7" w:rsidRPr="00114F95">
        <w:rPr>
          <w:rFonts w:hAnsi="標楷體" w:hint="default"/>
          <w:szCs w:val="28"/>
        </w:rPr>
        <w:t>3</w:t>
      </w:r>
      <w:r w:rsidR="004C1DB7" w:rsidRPr="00114F95">
        <w:rPr>
          <w:rFonts w:hAnsi="標楷體"/>
          <w:szCs w:val="28"/>
        </w:rPr>
        <w:t>.84（kWp）以上）</w:t>
      </w:r>
      <w:r w:rsidR="004C1DB7" w:rsidRPr="00997A4C">
        <w:rPr>
          <w:rFonts w:hAnsi="標楷體"/>
          <w:color w:val="000000" w:themeColor="text1"/>
          <w:szCs w:val="28"/>
        </w:rPr>
        <w:t>。</w:t>
      </w:r>
      <w:r w:rsidRPr="00997A4C">
        <w:rPr>
          <w:rFonts w:hAnsi="標楷體"/>
          <w:color w:val="000000" w:themeColor="text1"/>
          <w:szCs w:val="28"/>
        </w:rPr>
        <w:t xml:space="preserve"> </w:t>
      </w:r>
    </w:p>
    <w:p w14:paraId="1639A6CE" w14:textId="77777777"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14:paraId="3CC0D8D2" w14:textId="77777777"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本標租案業經本</w:t>
      </w:r>
      <w:r w:rsidRPr="00997A4C">
        <w:rPr>
          <w:rFonts w:hAnsi="標楷體"/>
          <w:color w:val="000000" w:themeColor="text1"/>
          <w:szCs w:val="28"/>
        </w:rPr>
        <w:t>府教育局</w:t>
      </w:r>
      <w:r>
        <w:rPr>
          <w:rFonts w:hAnsi="標楷體"/>
          <w:color w:val="000000" w:themeColor="text1"/>
          <w:szCs w:val="28"/>
        </w:rPr>
        <w:t>同意辦理。</w:t>
      </w:r>
    </w:p>
    <w:p w14:paraId="4D4ABBAB" w14:textId="77777777"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並締結</w:t>
      </w:r>
      <w:r w:rsidR="00A40BF5" w:rsidRPr="00997A4C">
        <w:rPr>
          <w:rFonts w:hAnsi="標楷體"/>
          <w:color w:val="000000" w:themeColor="text1"/>
          <w:szCs w:val="28"/>
        </w:rPr>
        <w:lastRenderedPageBreak/>
        <w:t xml:space="preserve">契約者。 </w:t>
      </w:r>
    </w:p>
    <w:p w14:paraId="470E5E9F"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r w:rsidRPr="00997A4C">
        <w:rPr>
          <w:rFonts w:hAnsi="標楷體"/>
          <w:color w:val="000000" w:themeColor="text1"/>
          <w:szCs w:val="28"/>
        </w:rPr>
        <w:t xml:space="preserve">採公開標租方式得出。 </w:t>
      </w:r>
    </w:p>
    <w:p w14:paraId="0D50C8E4"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14:paraId="6F377F1C" w14:textId="77777777"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14:paraId="3F143C6C" w14:textId="77777777"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14:paraId="065EE0C4" w14:textId="77777777"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14:paraId="00E17767" w14:textId="77777777"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請擇一勾選：</w:t>
      </w:r>
    </w:p>
    <w:p w14:paraId="64AE66BC" w14:textId="77777777" w:rsidR="00B34BC9" w:rsidRPr="009C1AE0" w:rsidRDefault="00B34BC9" w:rsidP="00E50F8C">
      <w:pPr>
        <w:pStyle w:val="Default"/>
        <w:snapToGrid w:val="0"/>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r w:rsidRPr="009C1AE0">
        <w:rPr>
          <w:rFonts w:ascii="Times New Roman" w:hAnsi="標楷體" w:cs="Times New Roman" w:hint="eastAsia"/>
          <w:color w:val="000000" w:themeColor="text1"/>
          <w:kern w:val="2"/>
          <w:sz w:val="28"/>
          <w:szCs w:val="28"/>
          <w:lang w:bidi="ar-SA"/>
        </w:rPr>
        <w:t>（本校</w:t>
      </w:r>
      <w:r w:rsidRPr="009C1AE0">
        <w:rPr>
          <w:rFonts w:ascii="Times New Roman" w:hAnsi="標楷體" w:cs="Times New Roman" w:hint="eastAsia"/>
          <w:color w:val="000000" w:themeColor="text1"/>
          <w:kern w:val="2"/>
          <w:sz w:val="28"/>
          <w:szCs w:val="28"/>
          <w:lang w:bidi="ar-SA"/>
        </w:rPr>
        <w:t>OO</w:t>
      </w:r>
      <w:r w:rsidRPr="009C1AE0">
        <w:rPr>
          <w:rFonts w:ascii="Times New Roman" w:hAnsi="標楷體" w:cs="Times New Roman" w:hint="eastAsia"/>
          <w:color w:val="000000" w:themeColor="text1"/>
          <w:kern w:val="2"/>
          <w:sz w:val="28"/>
          <w:szCs w:val="28"/>
          <w:lang w:bidi="ar-SA"/>
        </w:rPr>
        <w:t>樓屋頂基地面積</w:t>
      </w:r>
      <w:r w:rsidRPr="009C1AE0">
        <w:rPr>
          <w:rFonts w:ascii="Times New Roman" w:hAnsi="標楷體" w:cs="Times New Roman"/>
          <w:color w:val="000000" w:themeColor="text1"/>
          <w:kern w:val="2"/>
          <w:sz w:val="28"/>
          <w:szCs w:val="28"/>
          <w:lang w:bidi="ar-SA"/>
        </w:rPr>
        <w:t>600</w:t>
      </w:r>
      <w:r w:rsidRPr="009C1AE0">
        <w:rPr>
          <w:rFonts w:ascii="Times New Roman" w:hAnsi="標楷體" w:cs="Times New Roman"/>
          <w:color w:val="000000" w:themeColor="text1"/>
          <w:kern w:val="2"/>
          <w:sz w:val="28"/>
          <w:szCs w:val="28"/>
          <w:lang w:bidi="ar-SA"/>
        </w:rPr>
        <w:t>平方公尺</w:t>
      </w:r>
      <w:r w:rsidRPr="009C1AE0">
        <w:rPr>
          <w:rFonts w:ascii="Times New Roman" w:hAnsi="標楷體" w:cs="Times New Roman" w:hint="eastAsia"/>
          <w:color w:val="000000" w:themeColor="text1"/>
          <w:kern w:val="2"/>
          <w:sz w:val="28"/>
          <w:szCs w:val="28"/>
          <w:lang w:bidi="ar-SA"/>
        </w:rPr>
        <w:t>、</w:t>
      </w:r>
      <w:r w:rsidRPr="009C1AE0">
        <w:rPr>
          <w:rFonts w:ascii="Times New Roman" w:hAnsi="標楷體" w:cs="Times New Roman" w:hint="eastAsia"/>
          <w:color w:val="000000" w:themeColor="text1"/>
          <w:kern w:val="2"/>
          <w:sz w:val="28"/>
          <w:szCs w:val="28"/>
          <w:lang w:bidi="ar-SA"/>
        </w:rPr>
        <w:t>XX</w:t>
      </w:r>
      <w:r w:rsidRPr="009C1AE0">
        <w:rPr>
          <w:rFonts w:ascii="Times New Roman" w:hAnsi="標楷體" w:cs="Times New Roman" w:hint="eastAsia"/>
          <w:color w:val="000000" w:themeColor="text1"/>
          <w:kern w:val="2"/>
          <w:sz w:val="28"/>
          <w:szCs w:val="28"/>
          <w:lang w:bidi="ar-SA"/>
        </w:rPr>
        <w:t>樓屋頂基地面積</w:t>
      </w:r>
      <w:r w:rsidRPr="009C1AE0">
        <w:rPr>
          <w:rFonts w:ascii="Times New Roman" w:hAnsi="標楷體" w:cs="Times New Roman" w:hint="eastAsia"/>
          <w:color w:val="000000" w:themeColor="text1"/>
          <w:kern w:val="2"/>
          <w:sz w:val="28"/>
          <w:szCs w:val="28"/>
          <w:lang w:bidi="ar-SA"/>
        </w:rPr>
        <w:t>4</w:t>
      </w:r>
      <w:r w:rsidRPr="009C1AE0">
        <w:rPr>
          <w:rFonts w:ascii="Times New Roman" w:hAnsi="標楷體" w:cs="Times New Roman"/>
          <w:color w:val="000000" w:themeColor="text1"/>
          <w:kern w:val="2"/>
          <w:sz w:val="28"/>
          <w:szCs w:val="28"/>
          <w:lang w:bidi="ar-SA"/>
        </w:rPr>
        <w:t>00</w:t>
      </w:r>
      <w:r w:rsidRPr="009C1AE0">
        <w:rPr>
          <w:rFonts w:ascii="Times New Roman" w:hAnsi="標楷體" w:cs="Times New Roman"/>
          <w:color w:val="000000" w:themeColor="text1"/>
          <w:kern w:val="2"/>
          <w:sz w:val="28"/>
          <w:szCs w:val="28"/>
          <w:lang w:bidi="ar-SA"/>
        </w:rPr>
        <w:t>平方公尺</w:t>
      </w:r>
      <w:r w:rsidRPr="009C1AE0">
        <w:rPr>
          <w:rFonts w:ascii="Times New Roman" w:hAnsi="標楷體" w:cs="Times New Roman" w:hint="eastAsia"/>
          <w:color w:val="000000" w:themeColor="text1"/>
          <w:kern w:val="2"/>
          <w:sz w:val="28"/>
          <w:szCs w:val="28"/>
          <w:lang w:bidi="ar-SA"/>
        </w:rPr>
        <w:t>，</w:t>
      </w:r>
      <w:r w:rsidRPr="009C1AE0">
        <w:rPr>
          <w:rFonts w:ascii="Times New Roman" w:hAnsi="標楷體" w:cs="Times New Roman"/>
          <w:color w:val="000000" w:themeColor="text1"/>
          <w:kern w:val="2"/>
          <w:sz w:val="28"/>
          <w:szCs w:val="28"/>
          <w:lang w:bidi="ar-SA"/>
        </w:rPr>
        <w:t>合計</w:t>
      </w:r>
      <w:r w:rsidRPr="009C1AE0">
        <w:rPr>
          <w:rFonts w:ascii="Times New Roman" w:hAnsi="標楷體" w:cs="Times New Roman" w:hint="eastAsia"/>
          <w:color w:val="000000" w:themeColor="text1"/>
          <w:kern w:val="2"/>
          <w:sz w:val="28"/>
          <w:szCs w:val="28"/>
          <w:lang w:bidi="ar-SA"/>
        </w:rPr>
        <w:t>1</w:t>
      </w:r>
      <w:r w:rsidRPr="009C1AE0">
        <w:rPr>
          <w:rFonts w:ascii="Times New Roman" w:hAnsi="標楷體" w:cs="Times New Roman"/>
          <w:color w:val="000000" w:themeColor="text1"/>
          <w:kern w:val="2"/>
          <w:sz w:val="28"/>
          <w:szCs w:val="28"/>
          <w:lang w:bidi="ar-SA"/>
        </w:rPr>
        <w:t>000</w:t>
      </w:r>
      <w:r w:rsidRPr="009C1AE0">
        <w:rPr>
          <w:rFonts w:ascii="Times New Roman" w:hAnsi="標楷體" w:cs="Times New Roman"/>
          <w:color w:val="000000" w:themeColor="text1"/>
          <w:kern w:val="2"/>
          <w:sz w:val="28"/>
          <w:szCs w:val="28"/>
          <w:lang w:bidi="ar-SA"/>
        </w:rPr>
        <w:t>平方公尺</w:t>
      </w:r>
      <w:r w:rsidRPr="009C1AE0">
        <w:rPr>
          <w:rFonts w:ascii="Times New Roman" w:hAnsi="標楷體" w:cs="Times New Roman" w:hint="eastAsia"/>
          <w:color w:val="000000" w:themeColor="text1"/>
          <w:kern w:val="2"/>
          <w:sz w:val="28"/>
          <w:szCs w:val="28"/>
          <w:lang w:bidi="ar-SA"/>
        </w:rPr>
        <w:t>）。</w:t>
      </w:r>
    </w:p>
    <w:p w14:paraId="11A81C9B" w14:textId="7EE3EC58" w:rsidR="00B34BC9" w:rsidRPr="009C1AE0" w:rsidRDefault="00197BDB" w:rsidP="00E50F8C">
      <w:pPr>
        <w:pStyle w:val="af1"/>
        <w:suppressAutoHyphens/>
        <w:autoSpaceDN w:val="0"/>
        <w:snapToGrid w:val="0"/>
        <w:ind w:leftChars="531" w:left="1840" w:hangingChars="202" w:hanging="566"/>
        <w:jc w:val="both"/>
        <w:textAlignment w:val="baseline"/>
        <w:rPr>
          <w:rFonts w:ascii="Times New Roman" w:eastAsia="標楷體" w:hAnsi="標楷體" w:cs="Times New Roman"/>
          <w:color w:val="000000" w:themeColor="text1"/>
          <w:kern w:val="2"/>
          <w:sz w:val="28"/>
          <w:szCs w:val="28"/>
        </w:rPr>
      </w:pPr>
      <w:r>
        <w:rPr>
          <w:rFonts w:ascii="標楷體" w:eastAsia="標楷體" w:hAnsi="標楷體" w:hint="eastAsia"/>
          <w:color w:val="000000" w:themeColor="text1"/>
          <w:sz w:val="28"/>
          <w:szCs w:val="28"/>
        </w:rPr>
        <w:t>■</w:t>
      </w:r>
      <w:r w:rsidR="00B34BC9" w:rsidRPr="009C1AE0">
        <w:rPr>
          <w:rFonts w:ascii="Times New Roman" w:eastAsia="標楷體" w:hAnsi="標楷體" w:cs="Times New Roman" w:hint="eastAsia"/>
          <w:color w:val="000000" w:themeColor="text1"/>
          <w:kern w:val="2"/>
          <w:sz w:val="28"/>
          <w:szCs w:val="28"/>
        </w:rPr>
        <w:t>2.</w:t>
      </w:r>
      <w:r w:rsidR="00B34BC9" w:rsidRPr="009C1AE0">
        <w:rPr>
          <w:rFonts w:ascii="Times New Roman" w:eastAsia="標楷體" w:hAnsi="標楷體" w:cs="Times New Roman" w:hint="eastAsia"/>
          <w:color w:val="000000" w:themeColor="text1"/>
          <w:kern w:val="2"/>
          <w:sz w:val="28"/>
          <w:szCs w:val="28"/>
        </w:rPr>
        <w:t>地面型太陽光電：建物由廠商興建後加裝太陽光電板（</w:t>
      </w:r>
      <w:r>
        <w:rPr>
          <w:rFonts w:ascii="Times New Roman" w:eastAsia="標楷體" w:hAnsi="標楷體" w:cs="Times New Roman" w:hint="eastAsia"/>
          <w:color w:val="000000" w:themeColor="text1"/>
          <w:kern w:val="2"/>
          <w:sz w:val="28"/>
          <w:szCs w:val="28"/>
        </w:rPr>
        <w:t>小北</w:t>
      </w:r>
      <w:r>
        <w:rPr>
          <w:rFonts w:ascii="Times New Roman" w:eastAsia="標楷體" w:hAnsi="標楷體" w:cs="Times New Roman" w:hint="eastAsia"/>
          <w:color w:val="000000" w:themeColor="text1"/>
          <w:kern w:val="2"/>
          <w:sz w:val="28"/>
          <w:szCs w:val="28"/>
        </w:rPr>
        <w:t>E</w:t>
      </w:r>
      <w:r>
        <w:rPr>
          <w:rFonts w:ascii="Times New Roman" w:eastAsia="標楷體" w:hAnsi="標楷體" w:cs="Times New Roman" w:hint="eastAsia"/>
          <w:color w:val="000000" w:themeColor="text1"/>
          <w:kern w:val="2"/>
          <w:sz w:val="28"/>
          <w:szCs w:val="28"/>
        </w:rPr>
        <w:t>棒球場打擊練習場</w:t>
      </w:r>
      <w:r w:rsidR="00B34BC9" w:rsidRPr="009C1AE0">
        <w:rPr>
          <w:rFonts w:ascii="Times New Roman" w:eastAsia="標楷體" w:hAnsi="標楷體" w:cs="Times New Roman" w:hint="eastAsia"/>
          <w:color w:val="000000" w:themeColor="text1"/>
          <w:kern w:val="2"/>
          <w:sz w:val="28"/>
          <w:szCs w:val="28"/>
        </w:rPr>
        <w:t>，基地面積</w:t>
      </w:r>
      <w:r w:rsidR="00B609C2">
        <w:rPr>
          <w:rFonts w:ascii="Times New Roman" w:eastAsia="標楷體" w:hAnsi="標楷體" w:cs="Times New Roman" w:hint="eastAsia"/>
          <w:color w:val="000000" w:themeColor="text1"/>
          <w:kern w:val="2"/>
          <w:sz w:val="28"/>
          <w:szCs w:val="28"/>
        </w:rPr>
        <w:t>約</w:t>
      </w:r>
      <w:r w:rsidR="00B34BC9" w:rsidRPr="009C1AE0">
        <w:rPr>
          <w:rFonts w:ascii="Times New Roman" w:eastAsia="標楷體" w:hAnsi="標楷體" w:cs="Times New Roman" w:hint="eastAsia"/>
          <w:color w:val="000000" w:themeColor="text1"/>
          <w:kern w:val="2"/>
          <w:sz w:val="28"/>
          <w:szCs w:val="28"/>
        </w:rPr>
        <w:t>1</w:t>
      </w:r>
      <w:r>
        <w:rPr>
          <w:rFonts w:ascii="Times New Roman" w:eastAsia="標楷體" w:hAnsi="標楷體" w:cs="Times New Roman" w:hint="eastAsia"/>
          <w:color w:val="000000" w:themeColor="text1"/>
          <w:kern w:val="2"/>
          <w:sz w:val="28"/>
          <w:szCs w:val="28"/>
        </w:rPr>
        <w:t>4</w:t>
      </w:r>
      <w:r w:rsidR="00B34BC9" w:rsidRPr="009C1AE0">
        <w:rPr>
          <w:rFonts w:ascii="Times New Roman" w:eastAsia="標楷體" w:hAnsi="標楷體" w:cs="Times New Roman"/>
          <w:color w:val="000000" w:themeColor="text1"/>
          <w:kern w:val="2"/>
          <w:sz w:val="28"/>
          <w:szCs w:val="28"/>
        </w:rPr>
        <w:t>00</w:t>
      </w:r>
      <w:r w:rsidR="00B34BC9" w:rsidRPr="009C1AE0">
        <w:rPr>
          <w:rFonts w:ascii="Times New Roman" w:eastAsia="標楷體" w:hAnsi="標楷體" w:cs="Times New Roman"/>
          <w:color w:val="000000" w:themeColor="text1"/>
          <w:kern w:val="2"/>
          <w:sz w:val="28"/>
          <w:szCs w:val="28"/>
        </w:rPr>
        <w:t>平方公尺</w:t>
      </w:r>
      <w:r w:rsidR="00B609C2">
        <w:rPr>
          <w:rFonts w:ascii="Times New Roman" w:eastAsia="標楷體" w:hAnsi="標楷體" w:cs="Times New Roman" w:hint="eastAsia"/>
          <w:color w:val="000000" w:themeColor="text1"/>
          <w:kern w:val="2"/>
          <w:sz w:val="28"/>
          <w:szCs w:val="28"/>
        </w:rPr>
        <w:t>，實際尺寸以現場丈量為準</w:t>
      </w:r>
      <w:r w:rsidR="00B34BC9" w:rsidRPr="009C1AE0">
        <w:rPr>
          <w:rFonts w:ascii="Times New Roman" w:eastAsia="標楷體" w:hAnsi="標楷體" w:cs="Times New Roman" w:hint="eastAsia"/>
          <w:color w:val="000000" w:themeColor="text1"/>
          <w:kern w:val="2"/>
          <w:sz w:val="28"/>
          <w:szCs w:val="28"/>
        </w:rPr>
        <w:t>）。</w:t>
      </w:r>
    </w:p>
    <w:p w14:paraId="795E313C" w14:textId="125E6972" w:rsidR="00C560E7" w:rsidRPr="00114F95" w:rsidRDefault="00197BDB" w:rsidP="00E50F8C">
      <w:pPr>
        <w:suppressAutoHyphens/>
        <w:autoSpaceDN w:val="0"/>
        <w:snapToGrid w:val="0"/>
        <w:ind w:leftChars="531" w:left="1840" w:hangingChars="202" w:hanging="566"/>
        <w:jc w:val="both"/>
        <w:textAlignment w:val="baseline"/>
        <w:rPr>
          <w:rFonts w:eastAsia="標楷體" w:hAnsi="標楷體"/>
          <w:color w:val="FF0000"/>
          <w:sz w:val="28"/>
          <w:szCs w:val="28"/>
          <w:shd w:val="clear" w:color="auto" w:fill="F2F2F2" w:themeFill="background1" w:themeFillShade="F2"/>
        </w:rPr>
      </w:pPr>
      <w:r w:rsidRPr="009C1AE0">
        <w:rPr>
          <w:rFonts w:eastAsia="標楷體" w:hAnsi="標楷體" w:hint="eastAsia"/>
          <w:color w:val="000000" w:themeColor="text1"/>
          <w:sz w:val="28"/>
          <w:szCs w:val="28"/>
        </w:rPr>
        <w:sym w:font="Wingdings" w:char="F06F"/>
      </w:r>
      <w:r w:rsidR="00C560E7">
        <w:rPr>
          <w:rFonts w:eastAsia="標楷體" w:hAnsi="標楷體"/>
          <w:color w:val="000000" w:themeColor="text1"/>
          <w:sz w:val="28"/>
          <w:szCs w:val="28"/>
        </w:rPr>
        <w:t>3.</w:t>
      </w:r>
      <w:r w:rsidR="00C560E7" w:rsidRPr="00E50F8C">
        <w:rPr>
          <w:rFonts w:eastAsia="標楷體" w:hAnsi="標楷體" w:hint="eastAsia"/>
          <w:sz w:val="28"/>
          <w:szCs w:val="28"/>
        </w:rPr>
        <w:t>綜合型太陽光電：</w:t>
      </w:r>
      <w:r w:rsidRPr="00E50F8C">
        <w:rPr>
          <w:rFonts w:eastAsia="標楷體" w:hAnsi="標楷體"/>
          <w:sz w:val="28"/>
          <w:szCs w:val="28"/>
        </w:rPr>
        <w:t xml:space="preserve"> </w:t>
      </w:r>
    </w:p>
    <w:p w14:paraId="2D93BD37" w14:textId="77777777"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r w:rsidR="00F67529" w:rsidRPr="00997A4C">
        <w:rPr>
          <w:rFonts w:eastAsia="標楷體" w:hAnsi="標楷體" w:hint="eastAsia"/>
          <w:color w:val="000000" w:themeColor="text1"/>
          <w:sz w:val="28"/>
          <w:szCs w:val="28"/>
        </w:rPr>
        <w:t>臺南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14:paraId="17CEA88C" w14:textId="77777777"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14:paraId="6E24B3DC" w14:textId="77777777"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w:t>
      </w:r>
      <w:r w:rsidRPr="00997A4C">
        <w:rPr>
          <w:rFonts w:eastAsia="標楷體" w:hAnsi="標楷體" w:hint="eastAsia"/>
          <w:color w:val="000000" w:themeColor="text1"/>
          <w:sz w:val="28"/>
          <w:szCs w:val="28"/>
        </w:rPr>
        <w:lastRenderedPageBreak/>
        <w:t>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14:paraId="1114F72F" w14:textId="77777777"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14:paraId="6C5B8E14" w14:textId="77777777" w:rsidR="00961918"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出租期間各太陽光電發電設備運作產生之碳權或再生能源證明歸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14:paraId="0F668476" w14:textId="09830F4F" w:rsidR="00593B46" w:rsidRPr="000A412E" w:rsidRDefault="00966F6F" w:rsidP="00593B46">
      <w:pPr>
        <w:numPr>
          <w:ilvl w:val="0"/>
          <w:numId w:val="5"/>
        </w:numPr>
        <w:suppressAutoHyphens/>
        <w:autoSpaceDN w:val="0"/>
        <w:snapToGrid w:val="0"/>
        <w:spacing w:line="400" w:lineRule="exact"/>
        <w:jc w:val="both"/>
        <w:textAlignment w:val="baseline"/>
        <w:rPr>
          <w:rFonts w:eastAsia="標楷體" w:hAnsi="標楷體"/>
          <w:color w:val="FF0000"/>
          <w:sz w:val="28"/>
          <w:szCs w:val="28"/>
        </w:rPr>
      </w:pPr>
      <w:r>
        <w:rPr>
          <w:rFonts w:eastAsia="標楷體" w:hAnsi="標楷體" w:hint="eastAsia"/>
          <w:color w:val="FF0000"/>
          <w:sz w:val="28"/>
          <w:szCs w:val="28"/>
        </w:rPr>
        <w:t>光</w:t>
      </w:r>
      <w:r>
        <w:rPr>
          <w:rFonts w:eastAsia="標楷體" w:hAnsi="標楷體"/>
          <w:color w:val="FF0000"/>
          <w:sz w:val="28"/>
          <w:szCs w:val="28"/>
        </w:rPr>
        <w:t>電風雨</w:t>
      </w:r>
      <w:r>
        <w:rPr>
          <w:rFonts w:eastAsia="標楷體" w:hAnsi="標楷體" w:hint="eastAsia"/>
          <w:color w:val="FF0000"/>
          <w:sz w:val="28"/>
          <w:szCs w:val="28"/>
        </w:rPr>
        <w:t>球</w:t>
      </w:r>
      <w:r>
        <w:rPr>
          <w:rFonts w:eastAsia="標楷體" w:hAnsi="標楷體"/>
          <w:color w:val="FF0000"/>
          <w:sz w:val="28"/>
          <w:szCs w:val="28"/>
        </w:rPr>
        <w:t>場週邊需搭設五米以上護網，設計</w:t>
      </w:r>
      <w:r w:rsidR="00B54D02">
        <w:rPr>
          <w:rFonts w:eastAsia="標楷體" w:hAnsi="標楷體" w:hint="eastAsia"/>
          <w:color w:val="FF0000"/>
          <w:sz w:val="28"/>
          <w:szCs w:val="28"/>
        </w:rPr>
        <w:t>規</w:t>
      </w:r>
      <w:r w:rsidR="00B54D02">
        <w:rPr>
          <w:rFonts w:eastAsia="標楷體" w:hAnsi="標楷體"/>
          <w:color w:val="FF0000"/>
          <w:sz w:val="28"/>
          <w:szCs w:val="28"/>
        </w:rPr>
        <w:t>劃</w:t>
      </w:r>
      <w:r>
        <w:rPr>
          <w:rFonts w:eastAsia="標楷體" w:hAnsi="標楷體"/>
          <w:color w:val="FF0000"/>
          <w:sz w:val="28"/>
          <w:szCs w:val="28"/>
        </w:rPr>
        <w:t>以利</w:t>
      </w:r>
      <w:r w:rsidR="00B54D02">
        <w:rPr>
          <w:rFonts w:eastAsia="標楷體" w:hAnsi="標楷體" w:hint="eastAsia"/>
          <w:color w:val="FF0000"/>
          <w:sz w:val="28"/>
          <w:szCs w:val="28"/>
        </w:rPr>
        <w:t>有</w:t>
      </w:r>
      <w:r w:rsidR="00B54D02">
        <w:rPr>
          <w:rFonts w:eastAsia="標楷體" w:hAnsi="標楷體"/>
          <w:color w:val="FF0000"/>
          <w:sz w:val="28"/>
          <w:szCs w:val="28"/>
        </w:rPr>
        <w:t>效</w:t>
      </w:r>
      <w:r>
        <w:rPr>
          <w:rFonts w:eastAsia="標楷體" w:hAnsi="標楷體" w:hint="eastAsia"/>
          <w:color w:val="FF0000"/>
          <w:sz w:val="28"/>
          <w:szCs w:val="28"/>
        </w:rPr>
        <w:t>隔</w:t>
      </w:r>
      <w:r w:rsidR="00B54D02">
        <w:rPr>
          <w:rFonts w:eastAsia="標楷體" w:hAnsi="標楷體" w:hint="eastAsia"/>
          <w:color w:val="FF0000"/>
          <w:sz w:val="28"/>
          <w:szCs w:val="28"/>
        </w:rPr>
        <w:t>絕</w:t>
      </w:r>
      <w:r>
        <w:rPr>
          <w:rFonts w:eastAsia="標楷體" w:hAnsi="標楷體"/>
          <w:color w:val="FF0000"/>
          <w:sz w:val="28"/>
          <w:szCs w:val="28"/>
        </w:rPr>
        <w:t>外人進出</w:t>
      </w:r>
      <w:r w:rsidR="00593B46" w:rsidRPr="000A412E">
        <w:rPr>
          <w:rFonts w:eastAsia="標楷體" w:hAnsi="標楷體" w:hint="eastAsia"/>
          <w:color w:val="FF0000"/>
          <w:sz w:val="28"/>
          <w:szCs w:val="28"/>
        </w:rPr>
        <w:t>。</w:t>
      </w:r>
    </w:p>
    <w:p w14:paraId="6AF46B9F" w14:textId="5FFC8A3F" w:rsidR="00593B46" w:rsidRDefault="00593B46" w:rsidP="00593B46">
      <w:pPr>
        <w:numPr>
          <w:ilvl w:val="0"/>
          <w:numId w:val="5"/>
        </w:numPr>
        <w:suppressAutoHyphens/>
        <w:autoSpaceDN w:val="0"/>
        <w:snapToGrid w:val="0"/>
        <w:spacing w:line="40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球場需安裝</w:t>
      </w:r>
      <w:r w:rsidRPr="000A412E">
        <w:rPr>
          <w:rFonts w:eastAsia="標楷體" w:hAnsi="標楷體" w:hint="eastAsia"/>
          <w:color w:val="FF0000"/>
          <w:sz w:val="28"/>
          <w:szCs w:val="28"/>
        </w:rPr>
        <w:t>LED</w:t>
      </w:r>
      <w:r w:rsidRPr="000A412E">
        <w:rPr>
          <w:rFonts w:eastAsia="標楷體" w:hAnsi="標楷體" w:hint="eastAsia"/>
          <w:color w:val="FF0000"/>
          <w:sz w:val="28"/>
          <w:szCs w:val="28"/>
        </w:rPr>
        <w:t>照明燈</w:t>
      </w:r>
      <w:r w:rsidRPr="000A412E">
        <w:rPr>
          <w:rFonts w:eastAsia="標楷體" w:hAnsi="標楷體" w:hint="eastAsia"/>
          <w:color w:val="FF0000"/>
          <w:sz w:val="28"/>
          <w:szCs w:val="28"/>
        </w:rPr>
        <w:t>(</w:t>
      </w:r>
      <w:r w:rsidRPr="000A412E">
        <w:rPr>
          <w:rFonts w:eastAsia="標楷體" w:hAnsi="標楷體" w:hint="eastAsia"/>
          <w:color w:val="FF0000"/>
          <w:sz w:val="28"/>
          <w:szCs w:val="28"/>
        </w:rPr>
        <w:t>施工完畢，電費由本校支付</w:t>
      </w:r>
      <w:r w:rsidRPr="000A412E">
        <w:rPr>
          <w:rFonts w:eastAsia="標楷體" w:hAnsi="標楷體" w:hint="eastAsia"/>
          <w:color w:val="FF0000"/>
          <w:sz w:val="28"/>
          <w:szCs w:val="28"/>
        </w:rPr>
        <w:t>)</w:t>
      </w:r>
      <w:r w:rsidRPr="000A412E">
        <w:rPr>
          <w:rFonts w:eastAsia="標楷體" w:hAnsi="標楷體" w:hint="eastAsia"/>
          <w:color w:val="FF0000"/>
          <w:sz w:val="28"/>
          <w:szCs w:val="28"/>
        </w:rPr>
        <w:t>，安裝位置與本校討論並照度需達</w:t>
      </w:r>
      <w:r w:rsidR="002166CE">
        <w:rPr>
          <w:rFonts w:eastAsia="標楷體" w:hAnsi="標楷體"/>
          <w:color w:val="FF0000"/>
          <w:sz w:val="28"/>
          <w:szCs w:val="28"/>
        </w:rPr>
        <w:t>5</w:t>
      </w:r>
      <w:bookmarkStart w:id="1" w:name="_GoBack"/>
      <w:bookmarkEnd w:id="1"/>
      <w:r w:rsidRPr="000A412E">
        <w:rPr>
          <w:rFonts w:eastAsia="標楷體" w:hAnsi="標楷體" w:hint="eastAsia"/>
          <w:color w:val="FF0000"/>
          <w:sz w:val="28"/>
          <w:szCs w:val="28"/>
        </w:rPr>
        <w:t>00</w:t>
      </w:r>
      <w:r w:rsidRPr="000A412E">
        <w:rPr>
          <w:rFonts w:eastAsia="標楷體" w:hAnsi="標楷體" w:hint="eastAsia"/>
          <w:color w:val="FF0000"/>
          <w:sz w:val="28"/>
          <w:szCs w:val="28"/>
        </w:rPr>
        <w:t>以上，不得有眩光、陰影之情形。</w:t>
      </w:r>
    </w:p>
    <w:p w14:paraId="4D0C3ECC" w14:textId="5D873032" w:rsidR="00AD69CA" w:rsidRPr="000A412E" w:rsidRDefault="00AD69CA" w:rsidP="00593B46">
      <w:pPr>
        <w:numPr>
          <w:ilvl w:val="0"/>
          <w:numId w:val="5"/>
        </w:numPr>
        <w:suppressAutoHyphens/>
        <w:autoSpaceDN w:val="0"/>
        <w:snapToGrid w:val="0"/>
        <w:spacing w:line="400" w:lineRule="exact"/>
        <w:jc w:val="both"/>
        <w:textAlignment w:val="baseline"/>
        <w:rPr>
          <w:rFonts w:eastAsia="標楷體" w:hAnsi="標楷體"/>
          <w:color w:val="FF0000"/>
          <w:sz w:val="28"/>
          <w:szCs w:val="28"/>
        </w:rPr>
      </w:pPr>
      <w:r>
        <w:rPr>
          <w:rFonts w:eastAsia="標楷體" w:hAnsi="標楷體" w:hint="eastAsia"/>
          <w:color w:val="FF0000"/>
          <w:sz w:val="28"/>
          <w:szCs w:val="28"/>
        </w:rPr>
        <w:t>風雨</w:t>
      </w:r>
      <w:r>
        <w:rPr>
          <w:rFonts w:eastAsia="標楷體" w:hAnsi="標楷體"/>
          <w:color w:val="FF0000"/>
          <w:sz w:val="28"/>
          <w:szCs w:val="28"/>
        </w:rPr>
        <w:t>球</w:t>
      </w:r>
      <w:r>
        <w:rPr>
          <w:rFonts w:eastAsia="標楷體" w:hAnsi="標楷體" w:hint="eastAsia"/>
          <w:color w:val="FF0000"/>
          <w:sz w:val="28"/>
          <w:szCs w:val="28"/>
        </w:rPr>
        <w:t>場</w:t>
      </w:r>
      <w:r>
        <w:rPr>
          <w:rFonts w:eastAsia="標楷體" w:hAnsi="標楷體"/>
          <w:color w:val="FF0000"/>
          <w:sz w:val="28"/>
          <w:szCs w:val="28"/>
        </w:rPr>
        <w:t>地面</w:t>
      </w:r>
      <w:r>
        <w:rPr>
          <w:rFonts w:eastAsia="標楷體" w:hAnsi="標楷體" w:hint="eastAsia"/>
          <w:color w:val="FF0000"/>
          <w:sz w:val="28"/>
          <w:szCs w:val="28"/>
        </w:rPr>
        <w:t>依</w:t>
      </w:r>
      <w:r>
        <w:rPr>
          <w:rFonts w:eastAsia="標楷體" w:hAnsi="標楷體"/>
          <w:color w:val="FF0000"/>
          <w:sz w:val="28"/>
          <w:szCs w:val="28"/>
        </w:rPr>
        <w:t>地面型球場舖設壓克力地板漆。</w:t>
      </w:r>
    </w:p>
    <w:p w14:paraId="3DD19AEA" w14:textId="77777777" w:rsidR="00593B46" w:rsidRPr="000A412E" w:rsidRDefault="00593B46" w:rsidP="00593B46">
      <w:pPr>
        <w:numPr>
          <w:ilvl w:val="0"/>
          <w:numId w:val="5"/>
        </w:numPr>
        <w:suppressAutoHyphens/>
        <w:autoSpaceDN w:val="0"/>
        <w:spacing w:line="400" w:lineRule="exact"/>
        <w:ind w:left="1470" w:hanging="728"/>
        <w:jc w:val="both"/>
        <w:textAlignment w:val="baseline"/>
        <w:rPr>
          <w:rFonts w:eastAsia="標楷體" w:hAnsi="標楷體"/>
          <w:color w:val="FF0000"/>
          <w:sz w:val="28"/>
          <w:szCs w:val="28"/>
        </w:rPr>
      </w:pPr>
      <w:r w:rsidRPr="000A412E">
        <w:rPr>
          <w:rFonts w:eastAsia="標楷體" w:hAnsi="標楷體" w:hint="eastAsia"/>
          <w:color w:val="FF0000"/>
          <w:sz w:val="28"/>
          <w:szCs w:val="28"/>
        </w:rPr>
        <w:t>倘若得標廠商之設置標的物發生申請雜照或建照無法通過，或該標的物與其它規範有所牴觸時，本合約即自動失效，不可歸責於出租機關；如已有裝設太陽光電相關發電設備時，得標廠商應最遲於出租機關函文通知起</w:t>
      </w:r>
      <w:r w:rsidRPr="000A412E">
        <w:rPr>
          <w:rFonts w:eastAsia="標楷體" w:hAnsi="標楷體" w:hint="eastAsia"/>
          <w:color w:val="FF0000"/>
          <w:sz w:val="28"/>
          <w:szCs w:val="28"/>
        </w:rPr>
        <w:t>30</w:t>
      </w:r>
      <w:r w:rsidRPr="000A412E">
        <w:rPr>
          <w:rFonts w:eastAsia="標楷體" w:hAnsi="標楷體" w:hint="eastAsia"/>
          <w:color w:val="FF0000"/>
          <w:sz w:val="28"/>
          <w:szCs w:val="28"/>
        </w:rPr>
        <w:t>個日曆天內拆除，逾時未拆除者，該發電設備將由出租機關自行處分費用從履約保證金扣除，得標廠商不得提出異議或請求賠償。</w:t>
      </w:r>
    </w:p>
    <w:p w14:paraId="2D30C911" w14:textId="29F3971B" w:rsidR="00593B46" w:rsidRPr="000A412E" w:rsidRDefault="00593B46" w:rsidP="00593B46">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0A412E">
        <w:rPr>
          <w:rFonts w:eastAsia="標楷體" w:hAnsi="標楷體" w:hint="eastAsia"/>
          <w:color w:val="FF0000"/>
          <w:sz w:val="28"/>
          <w:szCs w:val="28"/>
        </w:rPr>
        <w:t>原球場旁邊的</w:t>
      </w:r>
      <w:r w:rsidR="00E50F8C">
        <w:rPr>
          <w:rFonts w:eastAsia="標楷體" w:hAnsi="標楷體" w:hint="eastAsia"/>
          <w:color w:val="FF0000"/>
          <w:sz w:val="28"/>
          <w:szCs w:val="28"/>
        </w:rPr>
        <w:t>設施設備</w:t>
      </w:r>
      <w:r w:rsidR="006C61A2">
        <w:rPr>
          <w:rFonts w:eastAsia="標楷體" w:hAnsi="標楷體" w:hint="eastAsia"/>
          <w:color w:val="FF0000"/>
          <w:sz w:val="28"/>
          <w:szCs w:val="28"/>
        </w:rPr>
        <w:t>若有</w:t>
      </w:r>
      <w:r>
        <w:rPr>
          <w:rFonts w:eastAsia="標楷體" w:hAnsi="標楷體" w:hint="eastAsia"/>
          <w:color w:val="FF0000"/>
          <w:sz w:val="28"/>
          <w:szCs w:val="28"/>
        </w:rPr>
        <w:t>拆除</w:t>
      </w:r>
      <w:r w:rsidR="006C61A2">
        <w:rPr>
          <w:rFonts w:eastAsia="標楷體" w:hAnsi="標楷體" w:hint="eastAsia"/>
          <w:color w:val="FF0000"/>
          <w:sz w:val="28"/>
          <w:szCs w:val="28"/>
        </w:rPr>
        <w:t>需</w:t>
      </w:r>
      <w:r w:rsidR="00E50F8C">
        <w:rPr>
          <w:rFonts w:eastAsia="標楷體" w:hAnsi="標楷體" w:hint="eastAsia"/>
          <w:color w:val="FF0000"/>
          <w:sz w:val="28"/>
          <w:szCs w:val="28"/>
        </w:rPr>
        <w:t>與招標機關</w:t>
      </w:r>
      <w:r w:rsidR="006C61A2">
        <w:rPr>
          <w:rFonts w:eastAsia="標楷體" w:hAnsi="標楷體" w:hint="eastAsia"/>
          <w:color w:val="FF0000"/>
          <w:sz w:val="28"/>
          <w:szCs w:val="28"/>
        </w:rPr>
        <w:t>討論後續</w:t>
      </w:r>
      <w:r>
        <w:rPr>
          <w:rFonts w:eastAsia="標楷體" w:hAnsi="標楷體" w:hint="eastAsia"/>
          <w:color w:val="FF0000"/>
          <w:sz w:val="28"/>
          <w:szCs w:val="28"/>
        </w:rPr>
        <w:t>處理</w:t>
      </w:r>
      <w:r>
        <w:rPr>
          <w:rFonts w:ascii="標楷體" w:eastAsia="標楷體" w:hAnsi="標楷體" w:hint="eastAsia"/>
          <w:color w:val="FF0000"/>
          <w:sz w:val="28"/>
          <w:szCs w:val="28"/>
        </w:rPr>
        <w:t>，</w:t>
      </w:r>
      <w:r w:rsidRPr="000A412E">
        <w:rPr>
          <w:rFonts w:eastAsia="標楷體" w:hAnsi="標楷體" w:hint="eastAsia"/>
          <w:color w:val="FF0000"/>
          <w:sz w:val="28"/>
          <w:szCs w:val="28"/>
        </w:rPr>
        <w:t>樹本植栽學校同意由廠商移植或其他處理，費用由廠商自行負擔。</w:t>
      </w:r>
    </w:p>
    <w:p w14:paraId="439E64A5" w14:textId="77777777" w:rsidR="00593B46" w:rsidRPr="00593B46" w:rsidRDefault="00593B46" w:rsidP="00E50F8C">
      <w:pPr>
        <w:numPr>
          <w:ilvl w:val="0"/>
          <w:numId w:val="5"/>
        </w:numPr>
        <w:tabs>
          <w:tab w:val="left" w:pos="1560"/>
        </w:tabs>
        <w:suppressAutoHyphens/>
        <w:autoSpaceDN w:val="0"/>
        <w:snapToGrid w:val="0"/>
        <w:spacing w:line="440" w:lineRule="exact"/>
        <w:jc w:val="both"/>
        <w:textAlignment w:val="baseline"/>
        <w:rPr>
          <w:rFonts w:eastAsia="標楷體" w:hAnsi="標楷體"/>
          <w:color w:val="000000" w:themeColor="text1"/>
          <w:sz w:val="28"/>
          <w:szCs w:val="28"/>
        </w:rPr>
      </w:pPr>
      <w:r w:rsidRPr="00593B46">
        <w:rPr>
          <w:rFonts w:eastAsia="標楷體" w:hAnsi="標楷體" w:hint="eastAsia"/>
          <w:color w:val="FF0000"/>
          <w:sz w:val="28"/>
          <w:szCs w:val="28"/>
        </w:rPr>
        <w:t>得標廠商興建建築圖說需與本校討論並審核通過。</w:t>
      </w:r>
    </w:p>
    <w:p w14:paraId="2E87F51E" w14:textId="77777777"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14:paraId="30D35E4F" w14:textId="77777777"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14:paraId="37D5D172" w14:textId="77777777" w:rsidR="004B499F" w:rsidRPr="007F6844" w:rsidRDefault="004B499F" w:rsidP="00577636">
      <w:pPr>
        <w:numPr>
          <w:ilvl w:val="0"/>
          <w:numId w:val="23"/>
        </w:numPr>
        <w:suppressAutoHyphens/>
        <w:autoSpaceDN w:val="0"/>
        <w:snapToGrid w:val="0"/>
        <w:spacing w:line="440" w:lineRule="exact"/>
        <w:jc w:val="both"/>
        <w:textAlignment w:val="baseline"/>
        <w:rPr>
          <w:rFonts w:ascii="標楷體" w:eastAsia="標楷體" w:hAnsi="標楷體"/>
          <w:sz w:val="28"/>
          <w:szCs w:val="28"/>
        </w:rPr>
      </w:pPr>
      <w:r w:rsidRPr="007F6844">
        <w:rPr>
          <w:rFonts w:ascii="標楷體" w:eastAsia="標楷體" w:hAnsi="標楷體"/>
          <w:color w:val="000000" w:themeColor="text1"/>
          <w:sz w:val="28"/>
          <w:szCs w:val="28"/>
        </w:rPr>
        <w:t>基本設備設置容量</w:t>
      </w:r>
      <w:r w:rsidR="00E674A7" w:rsidRPr="007F6844">
        <w:rPr>
          <w:rFonts w:ascii="標楷體" w:eastAsia="標楷體" w:hAnsi="標楷體" w:hint="eastAsia"/>
          <w:color w:val="000000" w:themeColor="text1"/>
          <w:sz w:val="28"/>
          <w:szCs w:val="28"/>
        </w:rPr>
        <w:t>：</w:t>
      </w:r>
      <w:r w:rsidR="000D742B" w:rsidRPr="007F6844">
        <w:rPr>
          <w:rFonts w:ascii="標楷體" w:eastAsia="標楷體" w:hAnsi="標楷體"/>
          <w:color w:val="000000" w:themeColor="text1"/>
          <w:sz w:val="28"/>
          <w:szCs w:val="28"/>
        </w:rPr>
        <w:t>須達本案標的所載基地面積8%（kWp）以上。</w:t>
      </w:r>
      <w:r w:rsidR="000D742B" w:rsidRPr="007F6844">
        <w:rPr>
          <w:rFonts w:ascii="標楷體" w:eastAsia="標楷體" w:hAnsi="標楷體"/>
          <w:sz w:val="28"/>
          <w:szCs w:val="28"/>
        </w:rPr>
        <w:t>（例：基地面積為798平方公尺，基本系統設置容量須達63.84（kWp）以上）</w:t>
      </w:r>
      <w:r w:rsidR="00D659C9" w:rsidRPr="007F6844">
        <w:rPr>
          <w:rFonts w:ascii="標楷體" w:eastAsia="標楷體" w:hAnsi="標楷體"/>
          <w:sz w:val="28"/>
          <w:szCs w:val="28"/>
        </w:rPr>
        <w:t>。</w:t>
      </w:r>
    </w:p>
    <w:p w14:paraId="20D0C69A" w14:textId="77777777"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14:paraId="045FC0AA" w14:textId="77777777"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w:t>
      </w:r>
      <w:r w:rsidR="000D742B">
        <w:rPr>
          <w:rFonts w:eastAsia="標楷體" w:hAnsi="標楷體" w:hint="eastAsia"/>
          <w:color w:val="000000" w:themeColor="text1"/>
          <w:sz w:val="28"/>
          <w:szCs w:val="28"/>
        </w:rPr>
        <w:lastRenderedPageBreak/>
        <w:t>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14:paraId="686EEE81" w14:textId="77777777"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擴充設備設置容量之和，為廠商應完成之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14:paraId="02C0C646" w14:textId="77777777"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14:paraId="38832520" w14:textId="77777777" w:rsidR="00A048F1" w:rsidRDefault="00A048F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建議回饋需求</w:t>
      </w:r>
      <w:r>
        <w:rPr>
          <w:rFonts w:ascii="微軟正黑體" w:eastAsia="微軟正黑體" w:hAnsi="微軟正黑體"/>
          <w:color w:val="000000" w:themeColor="text1"/>
          <w:szCs w:val="28"/>
        </w:rPr>
        <w:t>：</w:t>
      </w:r>
    </w:p>
    <w:p w14:paraId="1A341139" w14:textId="3E2DBF45" w:rsidR="00A048F1" w:rsidRPr="00197BDB" w:rsidRDefault="00197BDB" w:rsidP="00D569C6">
      <w:pPr>
        <w:widowControl/>
        <w:suppressAutoHyphens/>
        <w:autoSpaceDN w:val="0"/>
        <w:snapToGrid w:val="0"/>
        <w:spacing w:line="440" w:lineRule="exact"/>
        <w:ind w:left="720"/>
        <w:contextualSpacing/>
        <w:jc w:val="both"/>
        <w:textAlignment w:val="baseline"/>
      </w:pPr>
      <w:r w:rsidRPr="00197BDB">
        <w:rPr>
          <w:rFonts w:eastAsia="標楷體" w:hAnsi="標楷體" w:hint="eastAsia"/>
          <w:sz w:val="28"/>
          <w:szCs w:val="28"/>
        </w:rPr>
        <w:t>本案</w:t>
      </w:r>
      <w:r w:rsidR="00A048F1" w:rsidRPr="00197BDB">
        <w:rPr>
          <w:rFonts w:eastAsia="標楷體" w:hAnsi="標楷體" w:hint="eastAsia"/>
          <w:sz w:val="28"/>
          <w:szCs w:val="28"/>
        </w:rPr>
        <w:t>建議回饋需求</w:t>
      </w:r>
      <w:r w:rsidR="00A048F1" w:rsidRPr="00197BDB">
        <w:rPr>
          <w:rFonts w:ascii="微軟正黑體" w:eastAsia="微軟正黑體" w:hAnsi="微軟正黑體" w:hint="eastAsia"/>
          <w:sz w:val="28"/>
          <w:szCs w:val="28"/>
        </w:rPr>
        <w:t>：</w:t>
      </w:r>
    </w:p>
    <w:p w14:paraId="64F8DB26" w14:textId="07C24802" w:rsidR="00197BDB" w:rsidRPr="007F6844" w:rsidRDefault="00197BDB" w:rsidP="00D569C6">
      <w:pPr>
        <w:pStyle w:val="af1"/>
        <w:tabs>
          <w:tab w:val="left" w:pos="175"/>
        </w:tabs>
        <w:snapToGrid w:val="0"/>
        <w:spacing w:line="440" w:lineRule="exact"/>
        <w:contextualSpacing/>
        <w:jc w:val="both"/>
        <w:rPr>
          <w:rFonts w:ascii="標楷體" w:eastAsia="標楷體" w:hAnsi="標楷體"/>
          <w:sz w:val="28"/>
        </w:rPr>
      </w:pPr>
      <w:r w:rsidRPr="007F6844">
        <w:rPr>
          <w:rFonts w:ascii="標楷體" w:eastAsia="標楷體" w:hAnsi="標楷體" w:hint="eastAsia"/>
          <w:sz w:val="28"/>
        </w:rPr>
        <w:t>1.建議協助於球</w:t>
      </w:r>
      <w:r w:rsidRPr="007F6844">
        <w:rPr>
          <w:rFonts w:ascii="標楷體" w:eastAsia="標楷體" w:hAnsi="標楷體"/>
          <w:sz w:val="28"/>
        </w:rPr>
        <w:t>場</w:t>
      </w:r>
      <w:r w:rsidRPr="007F6844">
        <w:rPr>
          <w:rFonts w:ascii="標楷體" w:eastAsia="標楷體" w:hAnsi="標楷體" w:hint="eastAsia"/>
          <w:sz w:val="28"/>
        </w:rPr>
        <w:t>內設置一台50吋液晶電視作為太陽能光電設施教學展示平台</w:t>
      </w:r>
      <w:r w:rsidR="007F6844">
        <w:rPr>
          <w:rFonts w:ascii="標楷體" w:eastAsia="標楷體" w:hAnsi="標楷體" w:hint="eastAsia"/>
          <w:sz w:val="28"/>
        </w:rPr>
        <w:t>。</w:t>
      </w:r>
    </w:p>
    <w:p w14:paraId="39FC3CA9" w14:textId="5443A8E3" w:rsidR="00197BDB" w:rsidRPr="007F6844" w:rsidRDefault="00197BDB" w:rsidP="00D569C6">
      <w:pPr>
        <w:pStyle w:val="af1"/>
        <w:tabs>
          <w:tab w:val="left" w:pos="175"/>
        </w:tabs>
        <w:snapToGrid w:val="0"/>
        <w:spacing w:line="440" w:lineRule="exact"/>
        <w:contextualSpacing/>
        <w:jc w:val="both"/>
        <w:rPr>
          <w:rFonts w:ascii="標楷體" w:eastAsia="標楷體" w:hAnsi="標楷體"/>
          <w:sz w:val="28"/>
        </w:rPr>
      </w:pPr>
      <w:r w:rsidRPr="007F6844">
        <w:rPr>
          <w:rFonts w:ascii="標楷體" w:eastAsia="標楷體" w:hAnsi="標楷體" w:hint="eastAsia"/>
          <w:sz w:val="28"/>
        </w:rPr>
        <w:t>2.光電球場協助增設監視錄影系統1套及定時夜間照明設備(球場照度參照相關設置標準)</w:t>
      </w:r>
      <w:r w:rsidR="007F6844">
        <w:rPr>
          <w:rFonts w:ascii="標楷體" w:eastAsia="標楷體" w:hAnsi="標楷體" w:hint="eastAsia"/>
          <w:sz w:val="28"/>
        </w:rPr>
        <w:t>。</w:t>
      </w:r>
    </w:p>
    <w:p w14:paraId="50CDD145" w14:textId="17EA0CEF" w:rsidR="00A048F1" w:rsidRPr="007F6844" w:rsidRDefault="00197BDB" w:rsidP="00D569C6">
      <w:pPr>
        <w:pStyle w:val="af1"/>
        <w:tabs>
          <w:tab w:val="left" w:pos="175"/>
        </w:tabs>
        <w:snapToGrid w:val="0"/>
        <w:spacing w:line="440" w:lineRule="exact"/>
        <w:contextualSpacing/>
        <w:jc w:val="both"/>
        <w:rPr>
          <w:rFonts w:ascii="標楷體" w:eastAsia="標楷體" w:hAnsi="標楷體"/>
          <w:sz w:val="28"/>
          <w:shd w:val="clear" w:color="auto" w:fill="F2F2F2" w:themeFill="background1" w:themeFillShade="F2"/>
        </w:rPr>
      </w:pPr>
      <w:r w:rsidRPr="007F6844">
        <w:rPr>
          <w:rFonts w:ascii="標楷體" w:eastAsia="標楷體" w:hAnsi="標楷體" w:hint="eastAsia"/>
          <w:sz w:val="28"/>
        </w:rPr>
        <w:t>3.其他創意回饋</w:t>
      </w:r>
      <w:r w:rsidR="00D569C6">
        <w:rPr>
          <w:rFonts w:ascii="標楷體" w:eastAsia="標楷體" w:hAnsi="標楷體" w:hint="eastAsia"/>
          <w:sz w:val="28"/>
        </w:rPr>
        <w:t>可</w:t>
      </w:r>
      <w:r w:rsidRPr="007F6844">
        <w:rPr>
          <w:rFonts w:ascii="標楷體" w:eastAsia="標楷體" w:hAnsi="標楷體" w:hint="eastAsia"/>
          <w:sz w:val="28"/>
        </w:rPr>
        <w:t>依棒</w:t>
      </w:r>
      <w:r w:rsidRPr="007F6844">
        <w:rPr>
          <w:rFonts w:ascii="標楷體" w:eastAsia="標楷體" w:hAnsi="標楷體"/>
          <w:sz w:val="28"/>
        </w:rPr>
        <w:t>球打擊場訓練內容提供相關設施設備</w:t>
      </w:r>
      <w:r w:rsidRPr="007F6844">
        <w:rPr>
          <w:rFonts w:ascii="標楷體" w:eastAsia="標楷體" w:hAnsi="標楷體" w:hint="eastAsia"/>
          <w:sz w:val="28"/>
        </w:rPr>
        <w:t>等。</w:t>
      </w:r>
    </w:p>
    <w:p w14:paraId="37F29B55" w14:textId="3B5BFD5D" w:rsidR="00A048F1" w:rsidRPr="007F6844" w:rsidRDefault="007F6844" w:rsidP="00D569C6">
      <w:pPr>
        <w:pStyle w:val="af1"/>
        <w:tabs>
          <w:tab w:val="left" w:pos="175"/>
        </w:tabs>
        <w:snapToGrid w:val="0"/>
        <w:spacing w:line="440" w:lineRule="exact"/>
        <w:contextualSpacing/>
        <w:jc w:val="both"/>
        <w:rPr>
          <w:rFonts w:ascii="標楷體" w:eastAsia="標楷體" w:hAnsi="標楷體"/>
          <w:color w:val="FF0000"/>
        </w:rPr>
      </w:pPr>
      <w:r w:rsidRPr="007F6844">
        <w:rPr>
          <w:rFonts w:ascii="標楷體" w:eastAsia="標楷體" w:hAnsi="標楷體" w:hint="eastAsia"/>
          <w:sz w:val="28"/>
        </w:rPr>
        <w:t>4.</w:t>
      </w:r>
      <w:r w:rsidR="00A048F1" w:rsidRPr="007F6844">
        <w:rPr>
          <w:rFonts w:ascii="標楷體" w:eastAsia="標楷體" w:hAnsi="標楷體" w:hint="eastAsia"/>
          <w:sz w:val="28"/>
        </w:rPr>
        <w:t>簡報現</w:t>
      </w:r>
      <w:r w:rsidR="00A048F1" w:rsidRPr="007F6844">
        <w:rPr>
          <w:rFonts w:ascii="標楷體" w:eastAsia="標楷體" w:hAnsi="標楷體" w:hint="eastAsia"/>
          <w:color w:val="000000" w:themeColor="text1"/>
          <w:sz w:val="28"/>
        </w:rPr>
        <w:t>場廠商口頭提供回饋項目恕無列入評分標準</w:t>
      </w:r>
    </w:p>
    <w:p w14:paraId="6E85EDCF" w14:textId="77777777"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招標方式：本案公開取得廠商企畫書及報價參考最有利標精神擇符合需要者辦理議價，</w:t>
      </w:r>
      <w:r w:rsidRPr="00866A46">
        <w:rPr>
          <w:rFonts w:hAnsi="標楷體"/>
          <w:bCs/>
          <w:szCs w:val="28"/>
        </w:rPr>
        <w:t>採非固定價金，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14:paraId="230117CF" w14:textId="77777777"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14:paraId="7BFB328B" w14:textId="77777777"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14:paraId="6ECEF03C" w14:textId="77777777"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之公司</w:t>
      </w:r>
      <w:r w:rsidR="0040154B" w:rsidRPr="00997A4C">
        <w:rPr>
          <w:rFonts w:eastAsia="標楷體" w:hAnsi="標楷體"/>
          <w:color w:val="000000" w:themeColor="text1"/>
          <w:sz w:val="28"/>
          <w:szCs w:val="28"/>
        </w:rPr>
        <w:t>且實收資本額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D6083F" w:rsidRPr="00997A4C">
        <w:rPr>
          <w:rFonts w:eastAsia="標楷體" w:hint="eastAsia"/>
          <w:color w:val="000000" w:themeColor="text1"/>
          <w:sz w:val="28"/>
          <w:szCs w:val="28"/>
        </w:rPr>
        <w:t>6</w:t>
      </w:r>
      <w:r w:rsidR="007D2580" w:rsidRPr="00997A4C">
        <w:rPr>
          <w:rFonts w:eastAsia="標楷體" w:hint="eastAsia"/>
          <w:color w:val="000000" w:themeColor="text1"/>
          <w:sz w:val="28"/>
          <w:szCs w:val="28"/>
        </w:rPr>
        <w:t>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乙級以上電器承裝業（</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14:paraId="0BE19957" w14:textId="77777777"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14:paraId="68C4499D" w14:textId="77777777"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14:paraId="4D48EFEA" w14:textId="77777777"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本標租案不允許共同投標。</w:t>
      </w:r>
    </w:p>
    <w:p w14:paraId="0228C2B9" w14:textId="77777777"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14:paraId="70C2D718" w14:textId="77777777"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w:t>
      </w:r>
      <w:r w:rsidRPr="00997A4C">
        <w:rPr>
          <w:rFonts w:eastAsia="標楷體" w:hAnsi="標楷體" w:hint="eastAsia"/>
          <w:color w:val="000000" w:themeColor="text1"/>
          <w:sz w:val="28"/>
          <w:szCs w:val="28"/>
        </w:rPr>
        <w:lastRenderedPageBreak/>
        <w:t>款判處有期徒刑者，自刊登之次日起三年。但經判決撤銷原處分或無罪確定者，應註銷之。</w:t>
      </w:r>
    </w:p>
    <w:p w14:paraId="7DC2B425" w14:textId="77777777"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14:paraId="3185ED19" w14:textId="77777777"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14:paraId="79E5A315" w14:textId="77777777"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14:paraId="79AE5602"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台電併電後開始計算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即行終止，不另行通知；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提出換約續租申請；逾期未申請者，視為無意續租。承租廠商辦理續租申請時，應注意下列事項：</w:t>
      </w:r>
    </w:p>
    <w:p w14:paraId="302694D2"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14:paraId="53280D23"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14:paraId="428CD12E" w14:textId="77777777"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經營年租金依</w:t>
      </w:r>
      <w:r w:rsidRPr="00075B78">
        <w:rPr>
          <w:rFonts w:eastAsia="標楷體" w:hAnsi="標楷體" w:hint="eastAsia"/>
          <w:bCs/>
          <w:color w:val="000000" w:themeColor="text1"/>
          <w:sz w:val="28"/>
          <w:szCs w:val="28"/>
        </w:rPr>
        <w:t>原售電回饋百分比計算，以作為續租條件。</w:t>
      </w:r>
    </w:p>
    <w:p w14:paraId="2F41A6E8"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之次日起算至</w:t>
      </w:r>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設備設置容量的認定為系統至少須完成併聯試運轉。未能依上述期間設置完成，每逾一日未完成應設置容量，按日收取懲罰性違約金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14:paraId="04ACD9EB"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14:paraId="7630B25B" w14:textId="77777777"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w:t>
      </w:r>
      <w:r w:rsidRPr="00997A4C">
        <w:rPr>
          <w:rFonts w:eastAsia="標楷體" w:hAnsi="標楷體"/>
          <w:color w:val="000000" w:themeColor="text1"/>
          <w:sz w:val="28"/>
          <w:szCs w:val="28"/>
        </w:rPr>
        <w:lastRenderedPageBreak/>
        <w:t>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14:paraId="453750C8" w14:textId="77777777"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14:paraId="7622EF15"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14:paraId="353ADE15" w14:textId="77777777"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14:paraId="2E66A35F" w14:textId="77777777"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14:paraId="04F624A2" w14:textId="77777777" w:rsidR="00B11CA9" w:rsidRPr="00B11CA9"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B11CA9">
        <w:rPr>
          <w:rFonts w:ascii="新細明體" w:hAnsi="新細明體" w:hint="eastAsia"/>
          <w:color w:val="000000" w:themeColor="text1"/>
          <w:sz w:val="28"/>
          <w:szCs w:val="28"/>
          <w:u w:val="single"/>
        </w:rPr>
        <w:t>:</w:t>
      </w:r>
    </w:p>
    <w:p w14:paraId="329641E3" w14:textId="0380F2FA" w:rsidR="006A6920" w:rsidRPr="00997A4C" w:rsidRDefault="00B11CA9" w:rsidP="00B11CA9">
      <w:pPr>
        <w:suppressAutoHyphens/>
        <w:autoSpaceDN w:val="0"/>
        <w:snapToGrid w:val="0"/>
        <w:spacing w:line="440" w:lineRule="exact"/>
        <w:ind w:left="1440"/>
        <w:jc w:val="both"/>
        <w:textAlignment w:val="baseline"/>
        <w:rPr>
          <w:rFonts w:eastAsia="標楷體" w:hAnsi="標楷體"/>
          <w:color w:val="000000" w:themeColor="text1"/>
          <w:sz w:val="28"/>
          <w:szCs w:val="28"/>
        </w:rPr>
      </w:pPr>
      <w:r>
        <w:rPr>
          <w:rFonts w:eastAsia="標楷體" w:hAnsi="標楷體" w:hint="eastAsia"/>
          <w:color w:val="000000" w:themeColor="text1"/>
          <w:sz w:val="28"/>
          <w:szCs w:val="28"/>
          <w:u w:val="single"/>
        </w:rPr>
        <w:t>地面型</w:t>
      </w:r>
      <w:r w:rsidR="006A6920" w:rsidRPr="00997A4C">
        <w:rPr>
          <w:rFonts w:eastAsia="標楷體" w:hAnsi="標楷體"/>
          <w:color w:val="000000" w:themeColor="text1"/>
          <w:sz w:val="28"/>
          <w:szCs w:val="28"/>
          <w:u w:val="single"/>
        </w:rPr>
        <w:t>不得低於</w:t>
      </w:r>
      <w:r w:rsidR="00D6083F" w:rsidRPr="00997A4C">
        <w:rPr>
          <w:rFonts w:eastAsia="標楷體" w:hAnsi="標楷體" w:hint="eastAsia"/>
          <w:color w:val="000000" w:themeColor="text1"/>
          <w:sz w:val="28"/>
          <w:szCs w:val="28"/>
          <w:u w:val="single"/>
        </w:rPr>
        <w:t>0.5</w:t>
      </w:r>
      <w:r w:rsidR="006A6920" w:rsidRPr="00997A4C">
        <w:rPr>
          <w:rFonts w:eastAsia="標楷體" w:hAnsi="標楷體"/>
          <w:color w:val="000000" w:themeColor="text1"/>
          <w:sz w:val="28"/>
          <w:szCs w:val="28"/>
          <w:u w:val="single"/>
        </w:rPr>
        <w:t>%</w:t>
      </w:r>
      <w:r>
        <w:rPr>
          <w:rFonts w:eastAsia="標楷體" w:hAnsi="標楷體" w:hint="eastAsia"/>
          <w:color w:val="000000" w:themeColor="text1"/>
          <w:sz w:val="28"/>
          <w:szCs w:val="28"/>
          <w:u w:val="single"/>
        </w:rPr>
        <w:t>，屋頂型不得低於</w:t>
      </w:r>
      <w:r>
        <w:rPr>
          <w:rFonts w:eastAsia="標楷體" w:hAnsi="標楷體" w:hint="eastAsia"/>
          <w:color w:val="000000" w:themeColor="text1"/>
          <w:sz w:val="28"/>
          <w:szCs w:val="28"/>
          <w:u w:val="single"/>
        </w:rPr>
        <w:t>10%</w:t>
      </w:r>
      <w:r w:rsidR="006A6920" w:rsidRPr="00997A4C">
        <w:rPr>
          <w:rFonts w:eastAsia="標楷體" w:hAnsi="標楷體"/>
          <w:color w:val="000000" w:themeColor="text1"/>
          <w:sz w:val="28"/>
          <w:szCs w:val="28"/>
        </w:rPr>
        <w:t>。</w:t>
      </w:r>
    </w:p>
    <w:p w14:paraId="496A7B27"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14:paraId="15037145"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台電併電後開始計算</w:t>
      </w:r>
      <w:r w:rsidRPr="00997A4C">
        <w:rPr>
          <w:rFonts w:eastAsia="標楷體" w:hAnsi="標楷體"/>
          <w:color w:val="000000" w:themeColor="text1"/>
          <w:sz w:val="28"/>
          <w:szCs w:val="28"/>
        </w:rPr>
        <w:t>。</w:t>
      </w:r>
    </w:p>
    <w:p w14:paraId="401D1F56" w14:textId="099E58B4"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w:t>
      </w:r>
      <w:r w:rsidR="00470E2C">
        <w:rPr>
          <w:rFonts w:eastAsia="標楷體" w:hAnsi="標楷體" w:hint="eastAsia"/>
          <w:color w:val="000000" w:themeColor="text1"/>
          <w:sz w:val="28"/>
          <w:szCs w:val="28"/>
        </w:rPr>
        <w:t>單位</w:t>
      </w:r>
      <w:r w:rsidRPr="00997A4C">
        <w:rPr>
          <w:rFonts w:eastAsia="標楷體" w:hAnsi="標楷體"/>
          <w:color w:val="000000" w:themeColor="text1"/>
          <w:sz w:val="28"/>
          <w:szCs w:val="28"/>
        </w:rPr>
        <w:t>簽章後，以掛號郵寄（以郵戳為憑）至出租機關。</w:t>
      </w:r>
    </w:p>
    <w:p w14:paraId="3847F3B8" w14:textId="77777777"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14:paraId="3B5DACA4" w14:textId="77777777"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14:paraId="13B4DE68" w14:textId="77777777"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14:paraId="1CC4F28E"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14:paraId="4A9A02F5"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14:paraId="117054E3"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14:paraId="1D7540D0" w14:textId="77777777"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14:paraId="364435D1" w14:textId="77777777"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00CC7AB4" w:rsidRPr="00997A4C">
        <w:rPr>
          <w:rFonts w:eastAsia="標楷體" w:hAnsi="標楷體"/>
          <w:color w:val="000000" w:themeColor="text1"/>
          <w:sz w:val="28"/>
          <w:szCs w:val="28"/>
        </w:rPr>
        <w:t>按日收取懲罰</w:t>
      </w:r>
      <w:r w:rsidR="00CC7AB4" w:rsidRPr="00997A4C">
        <w:rPr>
          <w:rFonts w:eastAsia="標楷體" w:hAnsi="標楷體"/>
          <w:color w:val="000000" w:themeColor="text1"/>
          <w:sz w:val="28"/>
          <w:szCs w:val="28"/>
        </w:rPr>
        <w:lastRenderedPageBreak/>
        <w:t>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14:paraId="71D16CFD" w14:textId="77777777"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因可歸責乙方之事由，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(kWp)</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 xml:space="preserve">-(不可歸責之系統設置容量(kWp))-(實際系統設置容量(kWp)】x(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,000(元/kWp))</w:t>
      </w:r>
      <w:r w:rsidR="00030CB1" w:rsidRPr="00997A4C">
        <w:rPr>
          <w:rFonts w:ascii="標楷體" w:eastAsia="標楷體" w:hAnsi="標楷體" w:hint="eastAsia"/>
          <w:color w:val="000000" w:themeColor="text1"/>
          <w:kern w:val="0"/>
          <w:sz w:val="28"/>
          <w:szCs w:val="28"/>
        </w:rPr>
        <w:t>；擴充設備設置容量之懲罰性違約金計算準用之</w:t>
      </w:r>
      <w:r w:rsidR="00030CB1" w:rsidRPr="00997A4C">
        <w:rPr>
          <w:rFonts w:ascii="標楷體" w:eastAsia="標楷體" w:hAnsi="標楷體"/>
          <w:color w:val="000000" w:themeColor="text1"/>
          <w:kern w:val="0"/>
          <w:sz w:val="28"/>
          <w:szCs w:val="28"/>
        </w:rPr>
        <w:t>。</w:t>
      </w:r>
    </w:p>
    <w:p w14:paraId="0A4F0C7E" w14:textId="77777777"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14:paraId="159EE484" w14:textId="77777777"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14:paraId="0BB14BE9" w14:textId="77777777"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r w:rsidR="00377AB4" w:rsidRPr="00377AB4">
        <w:rPr>
          <w:rFonts w:ascii="標楷體" w:eastAsia="標楷體" w:hAnsi="標楷體" w:hint="eastAsia"/>
          <w:color w:val="000000" w:themeColor="text1"/>
          <w:sz w:val="28"/>
          <w:szCs w:val="28"/>
        </w:rPr>
        <w:t>結構柱高起算點為屋頂下緣起算7公尺為限，並符合現行建築法相關規定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14:paraId="2BB9E6B6" w14:textId="455CFE70" w:rsidR="006E33E3" w:rsidRPr="00373E63" w:rsidRDefault="00470E2C"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p>
    <w:p w14:paraId="15D4AF62" w14:textId="77777777"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為佳（非強制，但納入評分，請於企劃書敘明是否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14:paraId="1B58FF39" w14:textId="77777777"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14:paraId="4043DF29" w14:textId="77777777"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本標租案相關投標文件將公告於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14:paraId="06D4FD3E" w14:textId="77777777"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14:paraId="3403E2BB" w14:textId="77777777"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14:paraId="141DE40C"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委託代理授權書：</w:t>
      </w:r>
    </w:p>
    <w:p w14:paraId="59C2581B"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14:paraId="0FBAE30C"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14:paraId="0FA4F1AB" w14:textId="77777777"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14:paraId="45D7EA56" w14:textId="77777777"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14:paraId="0745CE72"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14:paraId="1C0D9FCB"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14:paraId="51B7E0F3" w14:textId="77777777"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14:paraId="163D9895" w14:textId="77777777"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，各階段之投標文件應分別密封後，再以大封套合併裝封。外封套外部須書明投標廠商名稱、地址及採購案號或投標標的。投標文件須於投標截止期限前，以郵遞或專人寄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14:paraId="5413387C" w14:textId="0A7164CC"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寫至小數點後二位，惟投標回饋金百分比</w:t>
      </w:r>
      <w:r w:rsidR="00A92607">
        <w:rPr>
          <w:rFonts w:eastAsia="標楷體" w:hAnsi="標楷體" w:hint="eastAsia"/>
          <w:color w:val="000000" w:themeColor="text1"/>
          <w:sz w:val="28"/>
          <w:szCs w:val="32"/>
        </w:rPr>
        <w:t>地面型</w:t>
      </w:r>
      <w:r w:rsidR="001C76D6" w:rsidRPr="00997A4C">
        <w:rPr>
          <w:rFonts w:eastAsia="標楷體" w:hAnsi="標楷體"/>
          <w:color w:val="000000" w:themeColor="text1"/>
          <w:sz w:val="28"/>
          <w:szCs w:val="32"/>
        </w:rPr>
        <w:t>不得低於</w:t>
      </w:r>
      <w:r w:rsidR="00B1027C" w:rsidRPr="00997A4C">
        <w:rPr>
          <w:rFonts w:eastAsia="標楷體" w:hAnsi="標楷體" w:hint="eastAsia"/>
          <w:color w:val="000000" w:themeColor="text1"/>
          <w:sz w:val="28"/>
          <w:szCs w:val="32"/>
        </w:rPr>
        <w:t>0.5</w:t>
      </w:r>
      <w:r w:rsidR="001C76D6" w:rsidRPr="00997A4C">
        <w:rPr>
          <w:rFonts w:eastAsia="標楷體" w:hAnsi="標楷體"/>
          <w:color w:val="000000" w:themeColor="text1"/>
          <w:sz w:val="28"/>
          <w:szCs w:val="32"/>
        </w:rPr>
        <w:t>%</w:t>
      </w:r>
      <w:r w:rsidR="00A92607">
        <w:rPr>
          <w:rFonts w:eastAsia="標楷體" w:hAnsi="標楷體" w:hint="eastAsia"/>
          <w:color w:val="000000" w:themeColor="text1"/>
          <w:sz w:val="28"/>
          <w:szCs w:val="32"/>
        </w:rPr>
        <w:t>，屋頂型不得低於</w:t>
      </w:r>
      <w:r w:rsidR="00A92607">
        <w:rPr>
          <w:rFonts w:eastAsia="標楷體" w:hAnsi="標楷體" w:hint="eastAsia"/>
          <w:color w:val="000000" w:themeColor="text1"/>
          <w:sz w:val="28"/>
          <w:szCs w:val="32"/>
        </w:rPr>
        <w:t>10%</w:t>
      </w:r>
      <w:r w:rsidR="00A92607">
        <w:rPr>
          <w:rFonts w:eastAsia="標楷體" w:hAnsi="標楷體" w:hint="eastAsia"/>
          <w:color w:val="000000" w:themeColor="text1"/>
          <w:sz w:val="28"/>
          <w:szCs w:val="32"/>
        </w:rPr>
        <w:t>。</w:t>
      </w:r>
    </w:p>
    <w:p w14:paraId="006ADB45" w14:textId="77777777"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14:paraId="1E6AA0F6" w14:textId="77777777"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投標應備文件包括下列各項，投標前應逐一填妥簽章，密封後投標，封套外部須書明投標廠商名稱、住址、標租標的，凡投標文件不齊全者或未按規定者，所投之標為無效標。</w:t>
      </w:r>
    </w:p>
    <w:p w14:paraId="7BADCE5D"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55D2B8B0"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10041394"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076FCDDD"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67395A7E"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退還押標金申請書：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1E51915B"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3A421405"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押標金票據：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14:paraId="1406D3FE" w14:textId="77777777"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14:paraId="64FF7862" w14:textId="77777777"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14:paraId="37BA41E3" w14:textId="77777777"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14:paraId="7F7E65B9" w14:textId="77777777"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14:paraId="2F115641" w14:textId="77777777"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Pr="00997A4C">
        <w:rPr>
          <w:rFonts w:ascii="Times New Roman" w:hAnsi="標楷體"/>
          <w:color w:val="000000" w:themeColor="text1"/>
          <w:szCs w:val="28"/>
        </w:rPr>
        <w:t>六</w:t>
      </w:r>
      <w:r w:rsidR="00031EFF" w:rsidRPr="00997A4C">
        <w:rPr>
          <w:rFonts w:ascii="Times New Roman" w:hAnsi="標楷體" w:hint="default"/>
          <w:color w:val="000000" w:themeColor="text1"/>
          <w:szCs w:val="28"/>
        </w:rPr>
        <w:t>十日止，如機關無法於前開有效期內決標，得於必要時洽請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14:paraId="4726D2C1" w14:textId="77777777"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14:paraId="37701978" w14:textId="77777777"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14:paraId="628DE4E3" w14:textId="77777777"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以下任繳一種：公司登記或商業登記證明文件、公司變更登記表、公司登記證明書或列印公開於目的事業主管機關網站之最新資料代之。另按經濟部公告「營利事業登記證」自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日起停止使用，不再作為證明文件，投標廠商請勿檢附；若為法人應檢具登記證明文件及代表人之資格證明文件。</w:t>
      </w:r>
    </w:p>
    <w:p w14:paraId="7892BF90" w14:textId="77777777"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登記營業項目須有電器承裝業（</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需檢附乙級以上電器承裝業登記執照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14:paraId="30CBF51E" w14:textId="77777777"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14:paraId="1B8758D7" w14:textId="77777777"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最近一期之營業稅繳款書收據聯或主管稽徵機關核章之最近一期營業人銷售額與稅額申報書收執聯。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
    <w:p w14:paraId="3267FAE3" w14:textId="77777777"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新設立且未屆第一期營業稅繳納期限者，得以營業稅主管稽徵機關核發之核准設立登記</w:t>
      </w:r>
      <w:r w:rsidR="00C1438B" w:rsidRPr="00997A4C">
        <w:rPr>
          <w:rFonts w:eastAsia="標楷體" w:hAnsi="標楷體"/>
          <w:color w:val="000000" w:themeColor="text1"/>
          <w:sz w:val="28"/>
          <w:szCs w:val="28"/>
        </w:rPr>
        <w:t>公函代之；經核定使用統一發票者，應一併檢附</w:t>
      </w:r>
      <w:r w:rsidRPr="00997A4C">
        <w:rPr>
          <w:rFonts w:eastAsia="標楷體" w:hAnsi="標楷體"/>
          <w:color w:val="000000" w:themeColor="text1"/>
          <w:sz w:val="28"/>
          <w:szCs w:val="28"/>
        </w:rPr>
        <w:t>申領統一發票購票證相關文件代之。</w:t>
      </w:r>
    </w:p>
    <w:p w14:paraId="5A109494" w14:textId="77777777"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標租案投標截止日前，皆未遇到營業稅申報截止日時，以營業稅主管稽徵機關核發之核准設立登記公函代之；經核定使用統一發票者，應一併檢附申領統一發票購票證相關文件。</w:t>
      </w:r>
    </w:p>
    <w:p w14:paraId="4920E1DC" w14:textId="77777777"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lastRenderedPageBreak/>
        <w:t>若投標人最近一期無應納營業稅時，該完稅證明文件為營業稅主管稽徵機關核章之「營業人銷售額與稅額申報收執聯」。</w:t>
      </w:r>
    </w:p>
    <w:p w14:paraId="0D858493" w14:textId="77777777"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最近三年內無退票紀錄證明文件。（由票據交換所或受理查詢金融機構出具之票據信用查覆單，應加蓋查覆單位、單位有權人員及經辦員圖章者，始可作為證明之文件）。</w:t>
      </w:r>
    </w:p>
    <w:p w14:paraId="563BB219" w14:textId="77777777"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外國廠商提出之資格文件，應附經公證或認證之中文譯本，如外國廠商依該國情形提出有困難者，得於申請文件內敘明其情形或以其所具有之相當資格代之。</w:t>
      </w:r>
    </w:p>
    <w:p w14:paraId="7F7FC1D4" w14:textId="77777777"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決標予該廠商；決標後發現得標廠商於決標前有前揭情形者，應撤銷決標。但撤銷決標反不符公共利益，並經上級機關核准者，不在此限。另機關撤銷決標者，契約視為自始無效，並準用解除契約或終止契約之規定。</w:t>
      </w:r>
    </w:p>
    <w:p w14:paraId="633BE6B6" w14:textId="77777777"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14:paraId="0C0EC856" w14:textId="0D134453"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Pr="00197BDB">
        <w:rPr>
          <w:rFonts w:eastAsia="標楷體" w:hAnsi="標楷體" w:hint="eastAsia"/>
          <w:sz w:val="28"/>
          <w:szCs w:val="32"/>
        </w:rPr>
        <w:t>（</w:t>
      </w:r>
      <w:r w:rsidR="00197BDB" w:rsidRPr="00197BDB">
        <w:rPr>
          <w:rFonts w:eastAsia="標楷體" w:hAnsi="標楷體" w:hint="eastAsia"/>
          <w:sz w:val="28"/>
          <w:szCs w:val="32"/>
        </w:rPr>
        <w:t>請詳閱招標公告</w:t>
      </w:r>
      <w:r w:rsidRPr="00197BDB">
        <w:rPr>
          <w:rFonts w:eastAsia="標楷體" w:hAnsi="標楷體" w:hint="eastAsia"/>
          <w:sz w:val="28"/>
          <w:szCs w:val="32"/>
        </w:rPr>
        <w:t>）</w:t>
      </w:r>
      <w:r w:rsidRPr="00197BDB">
        <w:rPr>
          <w:rFonts w:eastAsia="標楷體" w:hAnsi="標楷體"/>
          <w:sz w:val="28"/>
          <w:szCs w:val="32"/>
        </w:rPr>
        <w:t>前</w:t>
      </w:r>
      <w:r w:rsidRPr="00997A4C">
        <w:rPr>
          <w:rFonts w:eastAsia="標楷體" w:hAnsi="標楷體"/>
          <w:color w:val="000000" w:themeColor="text1"/>
          <w:sz w:val="28"/>
          <w:szCs w:val="32"/>
        </w:rPr>
        <w:t>，以掛號郵遞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197BDB">
        <w:rPr>
          <w:rFonts w:ascii="標楷體" w:eastAsia="標楷體" w:hAnsi="標楷體" w:hint="eastAsia"/>
          <w:color w:val="000000" w:themeColor="text1"/>
          <w:sz w:val="28"/>
          <w:szCs w:val="32"/>
        </w:rPr>
        <w:t>700臺南市中西區金華路4段17號</w:t>
      </w:r>
    </w:p>
    <w:p w14:paraId="2E283428" w14:textId="77777777"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14:paraId="57659CC0" w14:textId="77777777"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押標金繳納方式、沒收與發還：</w:t>
      </w:r>
    </w:p>
    <w:p w14:paraId="703B50C2" w14:textId="6E533EAF"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197BDB">
        <w:rPr>
          <w:rFonts w:eastAsia="標楷體" w:hAnsi="標楷體"/>
          <w:color w:val="000000" w:themeColor="text1"/>
          <w:sz w:val="28"/>
          <w:szCs w:val="32"/>
          <w:u w:val="single"/>
          <w:bdr w:val="single" w:sz="4" w:space="0" w:color="auto"/>
        </w:rPr>
        <w:t>10</w:t>
      </w:r>
      <w:r w:rsidRPr="00197BDB">
        <w:rPr>
          <w:rFonts w:eastAsia="標楷體" w:hAnsi="標楷體"/>
          <w:color w:val="000000" w:themeColor="text1"/>
          <w:sz w:val="28"/>
          <w:szCs w:val="32"/>
          <w:u w:val="single"/>
          <w:bdr w:val="single" w:sz="4" w:space="0" w:color="auto"/>
        </w:rPr>
        <w:t>萬元</w:t>
      </w:r>
      <w:r w:rsidRPr="00997A4C">
        <w:rPr>
          <w:rFonts w:eastAsia="標楷體" w:hAnsi="標楷體"/>
          <w:color w:val="000000" w:themeColor="text1"/>
          <w:sz w:val="28"/>
          <w:szCs w:val="32"/>
        </w:rPr>
        <w:t>，投標廠商應以下列方式繳納：現金（應於截止投標期前繳納至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）、金融機構所簽發之本票、支票、保付支票、郵政匯票（抬頭應書名：「</w:t>
      </w:r>
      <w:r w:rsidRPr="00197BDB">
        <w:rPr>
          <w:rFonts w:eastAsia="標楷體" w:hAnsi="標楷體" w:hint="eastAsia"/>
          <w:color w:val="000000" w:themeColor="text1"/>
          <w:sz w:val="28"/>
          <w:szCs w:val="32"/>
        </w:rPr>
        <w:t>臺南市</w:t>
      </w:r>
      <w:r w:rsidR="00197BDB" w:rsidRPr="00197BDB">
        <w:rPr>
          <w:rFonts w:eastAsia="標楷體" w:hAnsi="標楷體" w:hint="eastAsia"/>
          <w:color w:val="000000" w:themeColor="text1"/>
          <w:sz w:val="28"/>
          <w:szCs w:val="32"/>
        </w:rPr>
        <w:t>中西</w:t>
      </w:r>
      <w:r w:rsidR="00605E90" w:rsidRPr="00197BDB">
        <w:rPr>
          <w:rFonts w:eastAsia="標楷體" w:hAnsi="標楷體"/>
          <w:color w:val="000000" w:themeColor="text1"/>
          <w:sz w:val="28"/>
          <w:szCs w:val="32"/>
        </w:rPr>
        <w:t>區</w:t>
      </w:r>
      <w:r w:rsidR="00197BDB" w:rsidRPr="00197BDB">
        <w:rPr>
          <w:rFonts w:eastAsia="標楷體" w:hAnsi="標楷體" w:hint="eastAsia"/>
          <w:color w:val="000000" w:themeColor="text1"/>
          <w:sz w:val="28"/>
          <w:szCs w:val="32"/>
        </w:rPr>
        <w:t>協進</w:t>
      </w:r>
      <w:r w:rsidR="00605E90" w:rsidRPr="00197BDB">
        <w:rPr>
          <w:rFonts w:eastAsia="標楷體" w:hAnsi="標楷體"/>
          <w:color w:val="000000" w:themeColor="text1"/>
          <w:sz w:val="28"/>
          <w:szCs w:val="32"/>
        </w:rPr>
        <w:t>國民小學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14:paraId="2E96089B"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上述押標金之方式，擇一放入標封內</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。凡未按規定繳納押標金者，其所投之標即被視</w:t>
      </w:r>
      <w:r w:rsidRPr="00997A4C">
        <w:rPr>
          <w:rFonts w:eastAsia="標楷體" w:hAnsi="標楷體"/>
          <w:color w:val="000000" w:themeColor="text1"/>
          <w:sz w:val="28"/>
          <w:szCs w:val="32"/>
        </w:rPr>
        <w:lastRenderedPageBreak/>
        <w:t>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押標金為票據，未當場領回者，由投標廠商提出申請退還，本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14:paraId="4CD4EBF6"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押標金採用方式涉及有效期時，應定於開標日後三十日以上。</w:t>
      </w:r>
    </w:p>
    <w:p w14:paraId="1F6D2B6A" w14:textId="77777777"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廠商有下列情形之一者，其所繳納之押標金及其孳息，不予發還，其已發還者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14:paraId="3A273C54"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14:paraId="0E422C8C"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14:paraId="1BB3BC05"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14:paraId="5940D864"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14:paraId="27BA6698"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14:paraId="34FEAF22"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14:paraId="299183FE"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押標金轉換為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14:paraId="4E817C8B" w14:textId="77777777"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14:paraId="5893AF18" w14:textId="77777777"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14:paraId="34B11A50" w14:textId="77777777"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本標租案開標依標租公告所定時間地點公開舉行，投標廠商可不在場，如遇特殊情形，得當場宣布延期開標。</w:t>
      </w:r>
    </w:p>
    <w:p w14:paraId="094B4CCD" w14:textId="77777777"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14:paraId="28CE10DE"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14:paraId="0469D790"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14:paraId="6B7F6AA7"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14:paraId="122B837B"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14:paraId="2A5FAE12"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14:paraId="33A5BEB5"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14:paraId="7891FB3E"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14:paraId="13608365"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14:paraId="789D758E"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(5)</w:t>
      </w:r>
      <w:r w:rsidRPr="00C35A6B">
        <w:rPr>
          <w:rFonts w:eastAsia="標楷體" w:hint="eastAsia"/>
          <w:sz w:val="28"/>
          <w:szCs w:val="32"/>
        </w:rPr>
        <w:t>不同投標廠商間之投標文件內容有重大異常關聯者。</w:t>
      </w:r>
    </w:p>
    <w:p w14:paraId="4BB3CDCF"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14:paraId="4BEB568A"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14:paraId="1E63CBE5"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14:paraId="7591C8E9"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代擬招標文件之廠商，於依該招標文件辦理之標租。</w:t>
      </w:r>
    </w:p>
    <w:p w14:paraId="74D57FBD"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14:paraId="3D92617C"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14:paraId="33B29436"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14:paraId="64EC9E00" w14:textId="77777777"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14:paraId="647663A7" w14:textId="77777777"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14:paraId="2CD9EEF6" w14:textId="77777777"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本標租案參考「採購評選委員會審議規則」及「最有利標評選辦法」等相關規定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評定優勝廠商方式採序位法，價格納入評比。</w:t>
      </w:r>
    </w:p>
    <w:p w14:paraId="3FB11F6B" w14:textId="77777777"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本標租案倘僅有一家投標，其所投標內容符合投標文件規定者，亦得開標、決標。</w:t>
      </w:r>
    </w:p>
    <w:p w14:paraId="090F33BA" w14:textId="77777777"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結果經本局機關首長或其授權人員核定後方生效，依優勝序位於完成議價後決標，得標廠商於決標日之次日起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14:paraId="2740109B" w14:textId="77777777"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14:paraId="5FC9E053" w14:textId="77777777"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14:paraId="5EAFBE12" w14:textId="77777777"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14:paraId="171BA44A" w14:textId="77777777"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14:paraId="5EFCE116" w14:textId="3E755ED3" w:rsidR="00AD69CA" w:rsidRPr="00AD69CA" w:rsidRDefault="00AD69CA" w:rsidP="00AD69CA">
      <w:pPr>
        <w:numPr>
          <w:ilvl w:val="0"/>
          <w:numId w:val="17"/>
        </w:numPr>
        <w:snapToGrid w:val="0"/>
        <w:spacing w:line="440" w:lineRule="exact"/>
        <w:contextualSpacing/>
        <w:jc w:val="both"/>
        <w:rPr>
          <w:rFonts w:eastAsia="標楷體" w:hAnsi="標楷體"/>
          <w:color w:val="000000" w:themeColor="text1"/>
          <w:sz w:val="28"/>
          <w:szCs w:val="32"/>
          <w:highlight w:val="yellow"/>
        </w:rPr>
      </w:pPr>
      <w:r w:rsidRPr="00AD69CA">
        <w:rPr>
          <w:rFonts w:ascii="標楷體" w:eastAsia="標楷體" w:hAnsi="標楷體"/>
          <w:color w:val="000000"/>
          <w:sz w:val="28"/>
          <w:szCs w:val="32"/>
        </w:rPr>
        <w:t>履約保證金金額之計算方式如下：</w:t>
      </w:r>
      <w:r w:rsidRPr="00AD69CA">
        <w:rPr>
          <w:rFonts w:ascii="標楷體" w:eastAsia="標楷體" w:hAnsi="標楷體"/>
          <w:color w:val="000000"/>
          <w:szCs w:val="28"/>
        </w:rPr>
        <w:t>【</w:t>
      </w:r>
      <w:r w:rsidRPr="00AD69CA">
        <w:rPr>
          <w:rFonts w:ascii="標楷體" w:eastAsia="標楷體" w:hAnsi="標楷體"/>
          <w:color w:val="000000"/>
          <w:sz w:val="28"/>
          <w:szCs w:val="32"/>
        </w:rPr>
        <w:t>履約保證金=</w:t>
      </w:r>
      <w:r w:rsidRPr="00AD69CA">
        <w:rPr>
          <w:rFonts w:ascii="標楷體" w:eastAsia="標楷體" w:hAnsi="標楷體"/>
          <w:color w:val="000000"/>
          <w:sz w:val="28"/>
          <w:szCs w:val="28"/>
        </w:rPr>
        <w:t>應完成設備設置容量</w:t>
      </w:r>
      <w:r w:rsidRPr="00AD69CA">
        <w:rPr>
          <w:rFonts w:ascii="標楷體" w:eastAsia="標楷體" w:hAnsi="標楷體"/>
          <w:color w:val="000000"/>
          <w:sz w:val="28"/>
          <w:szCs w:val="32"/>
        </w:rPr>
        <w:t>（kWp）×2,000(元/kWp)</w:t>
      </w:r>
      <w:r w:rsidRPr="00AD69CA">
        <w:rPr>
          <w:rFonts w:ascii="標楷體" w:eastAsia="標楷體" w:hAnsi="標楷體"/>
          <w:color w:val="000000"/>
          <w:szCs w:val="28"/>
        </w:rPr>
        <w:t>】。</w:t>
      </w:r>
    </w:p>
    <w:p w14:paraId="64A7F3E7" w14:textId="219EBDF2" w:rsidR="00B66B81" w:rsidRPr="00B54D02" w:rsidRDefault="00B66B81" w:rsidP="00577636">
      <w:pPr>
        <w:numPr>
          <w:ilvl w:val="0"/>
          <w:numId w:val="17"/>
        </w:numPr>
        <w:snapToGrid w:val="0"/>
        <w:spacing w:line="440" w:lineRule="exact"/>
        <w:contextualSpacing/>
        <w:jc w:val="both"/>
        <w:rPr>
          <w:rFonts w:eastAsia="標楷體" w:hAnsi="標楷體"/>
          <w:color w:val="000000" w:themeColor="text1"/>
          <w:sz w:val="28"/>
          <w:szCs w:val="32"/>
          <w:highlight w:val="yellow"/>
        </w:rPr>
      </w:pPr>
      <w:r w:rsidRPr="00B54D02">
        <w:rPr>
          <w:rFonts w:eastAsia="標楷體" w:hAnsi="標楷體"/>
          <w:color w:val="000000" w:themeColor="text1"/>
          <w:sz w:val="28"/>
          <w:szCs w:val="32"/>
          <w:highlight w:val="yellow"/>
        </w:rPr>
        <w:t>得標廠商於決標次日起</w:t>
      </w:r>
      <w:r w:rsidRPr="00B54D02">
        <w:rPr>
          <w:rFonts w:eastAsia="標楷體" w:hAnsi="標楷體"/>
          <w:color w:val="000000" w:themeColor="text1"/>
          <w:sz w:val="28"/>
          <w:szCs w:val="32"/>
          <w:highlight w:val="yellow"/>
        </w:rPr>
        <w:t>20</w:t>
      </w:r>
      <w:r w:rsidRPr="00B54D02">
        <w:rPr>
          <w:rFonts w:eastAsia="標楷體" w:hAnsi="標楷體"/>
          <w:color w:val="000000" w:themeColor="text1"/>
          <w:sz w:val="28"/>
          <w:szCs w:val="32"/>
          <w:highlight w:val="yellow"/>
        </w:rPr>
        <w:t>日內（末日為例假日者順延一日），應給付履約保證金。得標廠商應以下列方式繳納：現</w:t>
      </w:r>
      <w:r w:rsidRPr="00B54D02">
        <w:rPr>
          <w:rFonts w:eastAsia="標楷體" w:hAnsi="標楷體"/>
          <w:color w:val="000000" w:themeColor="text1"/>
          <w:sz w:val="28"/>
          <w:szCs w:val="32"/>
          <w:highlight w:val="yellow"/>
        </w:rPr>
        <w:lastRenderedPageBreak/>
        <w:t>金（應繳納至</w:t>
      </w:r>
      <w:r w:rsidRPr="00B54D02">
        <w:rPr>
          <w:rFonts w:eastAsia="標楷體" w:hAnsi="標楷體" w:hint="eastAsia"/>
          <w:color w:val="000000" w:themeColor="text1"/>
          <w:sz w:val="28"/>
          <w:szCs w:val="32"/>
          <w:highlight w:val="yellow"/>
        </w:rPr>
        <w:t>出租機關</w:t>
      </w:r>
      <w:r w:rsidRPr="00B54D02">
        <w:rPr>
          <w:rFonts w:eastAsia="標楷體" w:hAnsi="標楷體"/>
          <w:color w:val="000000" w:themeColor="text1"/>
          <w:sz w:val="28"/>
          <w:szCs w:val="32"/>
          <w:highlight w:val="yellow"/>
        </w:rPr>
        <w:t>指定之專戶）、金融機構所簽發之本票、支票、保付支票、郵政匯票（抬頭應書名：「</w:t>
      </w:r>
      <w:r w:rsidRPr="00B54D02">
        <w:rPr>
          <w:rFonts w:eastAsia="標楷體" w:hAnsi="標楷體" w:hint="eastAsia"/>
          <w:color w:val="000000" w:themeColor="text1"/>
          <w:sz w:val="28"/>
          <w:szCs w:val="32"/>
          <w:highlight w:val="yellow"/>
        </w:rPr>
        <w:t>臺南市</w:t>
      </w:r>
      <w:r w:rsidR="00B54D02" w:rsidRPr="00B54D02">
        <w:rPr>
          <w:rFonts w:eastAsia="標楷體" w:hAnsi="標楷體" w:hint="eastAsia"/>
          <w:color w:val="000000" w:themeColor="text1"/>
          <w:sz w:val="28"/>
          <w:szCs w:val="32"/>
          <w:highlight w:val="yellow"/>
        </w:rPr>
        <w:t>中</w:t>
      </w:r>
      <w:r w:rsidR="00B54D02" w:rsidRPr="00B54D02">
        <w:rPr>
          <w:rFonts w:eastAsia="標楷體" w:hAnsi="標楷體"/>
          <w:color w:val="000000" w:themeColor="text1"/>
          <w:sz w:val="28"/>
          <w:szCs w:val="32"/>
          <w:highlight w:val="yellow"/>
        </w:rPr>
        <w:t>西區協進國小</w:t>
      </w:r>
      <w:r w:rsidR="00962163" w:rsidRPr="00B54D02">
        <w:rPr>
          <w:rFonts w:eastAsia="標楷體" w:hAnsi="標楷體" w:hint="eastAsia"/>
          <w:color w:val="000000" w:themeColor="text1"/>
          <w:sz w:val="28"/>
          <w:szCs w:val="32"/>
          <w:highlight w:val="yellow"/>
        </w:rPr>
        <w:t>國民小學</w:t>
      </w:r>
      <w:r w:rsidRPr="00B54D02">
        <w:rPr>
          <w:rFonts w:eastAsia="標楷體" w:hAnsi="標楷體"/>
          <w:color w:val="000000" w:themeColor="text1"/>
          <w:sz w:val="28"/>
          <w:szCs w:val="32"/>
          <w:highlight w:val="yellow"/>
        </w:rPr>
        <w:t>」後並予劃線），</w:t>
      </w:r>
      <w:r w:rsidRPr="00B54D02">
        <w:rPr>
          <w:rFonts w:eastAsia="標楷體" w:hAnsi="標楷體" w:hint="eastAsia"/>
          <w:color w:val="000000" w:themeColor="text1"/>
          <w:sz w:val="28"/>
          <w:szCs w:val="32"/>
          <w:highlight w:val="yellow"/>
        </w:rPr>
        <w:t>擇一為之，</w:t>
      </w:r>
      <w:r w:rsidRPr="00B54D02">
        <w:rPr>
          <w:rFonts w:eastAsia="標楷體" w:hAnsi="標楷體"/>
          <w:color w:val="000000" w:themeColor="text1"/>
          <w:sz w:val="28"/>
          <w:szCs w:val="32"/>
          <w:highlight w:val="yellow"/>
        </w:rPr>
        <w:t>以保證切實履行並完成合約。</w:t>
      </w:r>
    </w:p>
    <w:p w14:paraId="1A44BFF5"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分票據，其中第</w:t>
      </w:r>
      <w:r w:rsidRPr="00997A4C">
        <w:rPr>
          <w:rFonts w:eastAsia="標楷體" w:hAnsi="標楷體" w:hint="eastAsia"/>
          <w:color w:val="000000" w:themeColor="text1"/>
          <w:sz w:val="28"/>
          <w:szCs w:val="32"/>
        </w:rPr>
        <w:t>1</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份票據各佔履約保證金四分之一金額，第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份票據佔履約保證金二分之一金額，以利後續退還作業。若押標金已繳抵履約保證金，則第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份票據為履約保證金二分之一金額扣除押標金後得之。</w:t>
      </w:r>
    </w:p>
    <w:p w14:paraId="5A84E814"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14:paraId="37C82B72"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14:paraId="153788A3" w14:textId="77777777"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得標廠商有下列情形之一者，其所繳納之履約保證金及其孳息，不予發還：</w:t>
      </w:r>
    </w:p>
    <w:p w14:paraId="0E818EFD"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14:paraId="1B57351D"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得標廠商應自行履行契約，不得轉包（所稱轉包，指將原契約中應自行履行之全部或其主要部分，由其他廠商代為履行）。轉包者，不發還全部履約保證金。</w:t>
      </w:r>
    </w:p>
    <w:p w14:paraId="7B9D4BA9"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14:paraId="5C6C8017"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14:paraId="497AC932"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14:paraId="06857103"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w:t>
      </w:r>
      <w:r w:rsidRPr="00997A4C">
        <w:rPr>
          <w:rFonts w:eastAsia="標楷體" w:hAnsi="標楷體"/>
          <w:color w:val="000000" w:themeColor="text1"/>
          <w:sz w:val="28"/>
          <w:szCs w:val="28"/>
        </w:rPr>
        <w:lastRenderedPageBreak/>
        <w:t>延長期限履行契約之一部或全部，其逾期違約金之金額，與該金額相等之履約保證金。</w:t>
      </w:r>
    </w:p>
    <w:p w14:paraId="484D3E81" w14:textId="77777777"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14:paraId="5663C077" w14:textId="77777777"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14:paraId="4BDB7AC2" w14:textId="77777777"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14:paraId="3E014309" w14:textId="77777777"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14:paraId="517592F3" w14:textId="77777777"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14:paraId="26935696" w14:textId="77777777"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14:paraId="7D6D77F4" w14:textId="77777777"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14:paraId="6B9FC612" w14:textId="77777777"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14:paraId="6B7E993F"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14:paraId="72C9F7B3"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14:paraId="49308AEF" w14:textId="77777777"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14:paraId="664EC4DE" w14:textId="77777777"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本標租案租賃契約以中華民國法律為準據法，並以臺南市政府所在地之地方法院為第一審管轄法院。</w:t>
      </w:r>
    </w:p>
    <w:p w14:paraId="76E374E0" w14:textId="77777777"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法務部廉政署受理檢舉相關資訊及臺南市政府採購稽核小組如下：</w:t>
      </w:r>
    </w:p>
    <w:p w14:paraId="0F07BBBA" w14:textId="77777777"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14:paraId="36B975E9"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14:paraId="03ED2CFC"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14:paraId="3CE38202"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14:paraId="7EFF64FC"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hyperlink r:id="rId9" w:history="1">
        <w:r w:rsidRPr="00997A4C">
          <w:rPr>
            <w:rFonts w:hint="eastAsia"/>
            <w:color w:val="000000" w:themeColor="text1"/>
          </w:rPr>
          <w:t>gechief-p@mail.moj.gov.tw</w:t>
        </w:r>
      </w:hyperlink>
    </w:p>
    <w:p w14:paraId="26D204B8" w14:textId="77777777"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lastRenderedPageBreak/>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14:paraId="620BD358" w14:textId="77777777"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臺南市政府採購稽核小組</w:t>
      </w:r>
    </w:p>
    <w:p w14:paraId="7AB7C243" w14:textId="77777777"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r w:rsidRPr="00997A4C">
        <w:rPr>
          <w:rFonts w:ascii="標楷體" w:eastAsia="標楷體" w:hAnsi="標楷體" w:cs="標楷體" w:hint="eastAsia"/>
          <w:color w:val="000000" w:themeColor="text1"/>
          <w:sz w:val="28"/>
          <w:szCs w:val="28"/>
          <w:lang w:val="zh-TW"/>
        </w:rPr>
        <w:t>臺南市安平區永華路二段6號</w:t>
      </w:r>
    </w:p>
    <w:p w14:paraId="76A488BC" w14:textId="77777777"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14:paraId="211E9301" w14:textId="77777777"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14:paraId="2CFA46D6"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本標租案開標前倘因特殊原因或不可抗力之因素而情事變更，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或停止本標租案。</w:t>
      </w:r>
    </w:p>
    <w:p w14:paraId="187C3F6F"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參加本標租案之投標人，必須仔細閱讀且遵守本投標須知，並對本須知內應履行之權利義務及行為負責，並不得以任何理由要求投標無效。</w:t>
      </w:r>
    </w:p>
    <w:p w14:paraId="719A47EF" w14:textId="77777777"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14:paraId="46C68805"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如舉辦公開說明會說明之事項與本須知或契約書內容不一致時，以本須知及契約書條款為準。</w:t>
      </w:r>
    </w:p>
    <w:p w14:paraId="495D0CBF"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14:paraId="11BEC891" w14:textId="77777777"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投標人之投標文件經開啟標封後均不予發還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14:paraId="5F211999" w14:textId="77777777" w:rsidR="00C26E1B" w:rsidRPr="00997A4C" w:rsidRDefault="00793E49"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各廠商得標</w:t>
      </w:r>
      <w:r w:rsidR="00804F58" w:rsidRPr="00997A4C">
        <w:rPr>
          <w:rFonts w:ascii="Times New Roman"/>
          <w:color w:val="000000" w:themeColor="text1"/>
          <w:szCs w:val="28"/>
        </w:rPr>
        <w:t>之學校需全部施作，除有法令限制或特殊情形無法設置者，應報</w:t>
      </w:r>
      <w:r w:rsidR="00B34BC9">
        <w:rPr>
          <w:rFonts w:ascii="Times New Roman"/>
          <w:color w:val="000000" w:themeColor="text1"/>
          <w:szCs w:val="28"/>
        </w:rPr>
        <w:t>本校</w:t>
      </w:r>
      <w:r w:rsidR="00C26E1B" w:rsidRPr="00997A4C">
        <w:rPr>
          <w:rFonts w:ascii="Times New Roman"/>
          <w:color w:val="000000" w:themeColor="text1"/>
          <w:szCs w:val="28"/>
        </w:rPr>
        <w:t>同意後得免設置。</w:t>
      </w:r>
    </w:p>
    <w:p w14:paraId="13DFE1E5" w14:textId="77777777" w:rsidR="00C26E1B" w:rsidRPr="00997A4C" w:rsidRDefault="00C26E1B"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租賃期間</w:t>
      </w:r>
      <w:r w:rsidR="00804F58" w:rsidRPr="00997A4C">
        <w:rPr>
          <w:rFonts w:ascii="Times New Roman"/>
          <w:color w:val="000000" w:themeColor="text1"/>
          <w:szCs w:val="28"/>
        </w:rPr>
        <w:t>得標廠商</w:t>
      </w:r>
      <w:r w:rsidRPr="00997A4C">
        <w:rPr>
          <w:rFonts w:ascii="Times New Roman"/>
          <w:color w:val="000000" w:themeColor="text1"/>
          <w:szCs w:val="28"/>
        </w:rPr>
        <w:t>應保固屋頂不漏水。</w:t>
      </w:r>
    </w:p>
    <w:p w14:paraId="0EE9C378" w14:textId="77777777" w:rsidR="00C26E1B"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為加速本案取得建</w:t>
      </w:r>
      <w:r w:rsidRPr="00997A4C">
        <w:rPr>
          <w:rFonts w:ascii="Times New Roman"/>
          <w:color w:val="000000" w:themeColor="text1"/>
          <w:szCs w:val="28"/>
        </w:rPr>
        <w:t>(</w:t>
      </w:r>
      <w:r w:rsidR="00C26E1B" w:rsidRPr="00997A4C">
        <w:rPr>
          <w:rFonts w:ascii="Times New Roman"/>
          <w:color w:val="000000" w:themeColor="text1"/>
          <w:szCs w:val="28"/>
        </w:rPr>
        <w:t>雜</w:t>
      </w:r>
      <w:r w:rsidRPr="00997A4C">
        <w:rPr>
          <w:rFonts w:ascii="Times New Roman"/>
          <w:color w:val="000000" w:themeColor="text1"/>
          <w:szCs w:val="28"/>
        </w:rPr>
        <w:t>)</w:t>
      </w:r>
      <w:r w:rsidR="00C26E1B" w:rsidRPr="00997A4C">
        <w:rPr>
          <w:rFonts w:ascii="Times New Roman"/>
          <w:color w:val="000000" w:themeColor="text1"/>
          <w:szCs w:val="28"/>
        </w:rPr>
        <w:t>、使照等，</w:t>
      </w:r>
      <w:r w:rsidRPr="00997A4C">
        <w:rPr>
          <w:rFonts w:ascii="Times New Roman"/>
          <w:color w:val="000000" w:themeColor="text1"/>
          <w:szCs w:val="28"/>
        </w:rPr>
        <w:t>得標廠商</w:t>
      </w:r>
      <w:r w:rsidR="00C26E1B" w:rsidRPr="00997A4C">
        <w:rPr>
          <w:rFonts w:ascii="Times New Roman"/>
          <w:color w:val="000000" w:themeColor="text1"/>
          <w:szCs w:val="28"/>
        </w:rPr>
        <w:t>得經</w:t>
      </w:r>
      <w:r w:rsidR="00377A0D">
        <w:rPr>
          <w:rFonts w:ascii="Times New Roman"/>
          <w:color w:val="000000" w:themeColor="text1"/>
          <w:szCs w:val="28"/>
        </w:rPr>
        <w:t>本校</w:t>
      </w:r>
      <w:r w:rsidR="00C26E1B" w:rsidRPr="00997A4C">
        <w:rPr>
          <w:rFonts w:ascii="Times New Roman"/>
          <w:color w:val="000000" w:themeColor="text1"/>
          <w:szCs w:val="28"/>
        </w:rPr>
        <w:t>(</w:t>
      </w:r>
      <w:r w:rsidR="00C26E1B" w:rsidRPr="00997A4C">
        <w:rPr>
          <w:rFonts w:ascii="Times New Roman"/>
          <w:color w:val="000000" w:themeColor="text1"/>
          <w:szCs w:val="28"/>
        </w:rPr>
        <w:t>學校</w:t>
      </w:r>
      <w:r w:rsidR="00C26E1B" w:rsidRPr="00997A4C">
        <w:rPr>
          <w:rFonts w:ascii="Times New Roman"/>
          <w:color w:val="000000" w:themeColor="text1"/>
          <w:szCs w:val="28"/>
        </w:rPr>
        <w:t>)</w:t>
      </w:r>
      <w:r w:rsidR="00C26E1B" w:rsidRPr="00997A4C">
        <w:rPr>
          <w:rFonts w:ascii="Times New Roman"/>
          <w:color w:val="000000" w:themeColor="text1"/>
          <w:szCs w:val="28"/>
        </w:rPr>
        <w:t>同意報經</w:t>
      </w:r>
      <w:r w:rsidR="00B34BC9">
        <w:rPr>
          <w:rFonts w:ascii="Times New Roman"/>
          <w:color w:val="000000" w:themeColor="text1"/>
          <w:szCs w:val="28"/>
        </w:rPr>
        <w:t>本校</w:t>
      </w:r>
      <w:r w:rsidR="00C26E1B" w:rsidRPr="00997A4C">
        <w:rPr>
          <w:rFonts w:ascii="Times New Roman"/>
          <w:color w:val="000000" w:themeColor="text1"/>
          <w:szCs w:val="28"/>
        </w:rPr>
        <w:t>核准後，以</w:t>
      </w:r>
      <w:r w:rsidRPr="00997A4C">
        <w:rPr>
          <w:rFonts w:ascii="Times New Roman"/>
          <w:color w:val="000000" w:themeColor="text1"/>
          <w:szCs w:val="28"/>
        </w:rPr>
        <w:t>得標廠商</w:t>
      </w:r>
      <w:r w:rsidR="00C26E1B" w:rsidRPr="00997A4C">
        <w:rPr>
          <w:rFonts w:ascii="Times New Roman"/>
          <w:color w:val="000000" w:themeColor="text1"/>
          <w:szCs w:val="28"/>
        </w:rPr>
        <w:t>為起造人申請，惟取得使用執照後，應無償移轉予</w:t>
      </w:r>
      <w:r w:rsidR="00377A0D">
        <w:rPr>
          <w:rFonts w:ascii="Times New Roman"/>
          <w:color w:val="000000" w:themeColor="text1"/>
          <w:szCs w:val="28"/>
        </w:rPr>
        <w:t>本校</w:t>
      </w:r>
      <w:r w:rsidR="00C26E1B" w:rsidRPr="00997A4C">
        <w:rPr>
          <w:rFonts w:ascii="Times New Roman"/>
          <w:color w:val="000000" w:themeColor="text1"/>
          <w:szCs w:val="28"/>
        </w:rPr>
        <w:t>，衍生的相關規費由</w:t>
      </w:r>
      <w:r w:rsidRPr="00997A4C">
        <w:rPr>
          <w:rFonts w:ascii="Times New Roman"/>
          <w:color w:val="000000" w:themeColor="text1"/>
          <w:szCs w:val="28"/>
        </w:rPr>
        <w:t>得標廠商</w:t>
      </w:r>
      <w:r w:rsidR="00C26E1B" w:rsidRPr="00997A4C">
        <w:rPr>
          <w:rFonts w:ascii="Times New Roman"/>
          <w:color w:val="000000" w:themeColor="text1"/>
          <w:szCs w:val="28"/>
        </w:rPr>
        <w:t>負責。</w:t>
      </w:r>
    </w:p>
    <w:p w14:paraId="38FC8BB1" w14:textId="77777777"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得標廠商進場施工前需提送本案施工計畫書、品質計畫書、職安計畫書予學校核備，惟</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14:paraId="4B87C883" w14:textId="77777777" w:rsidR="00804F58" w:rsidRPr="00997A4C" w:rsidRDefault="00804F58" w:rsidP="00C560E7">
      <w:pPr>
        <w:pStyle w:val="a"/>
        <w:numPr>
          <w:ilvl w:val="0"/>
          <w:numId w:val="26"/>
        </w:numPr>
        <w:snapToGrid w:val="0"/>
        <w:spacing w:line="40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各案場若有樹木修剪需求，請依照本府工務局「臺南市樹木修剪施工要領」執行且須聘請具本府工務局核發的合格證照專業修剪工進行修剪，得標廠商進場施工前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14:paraId="332420CF" w14:textId="77777777" w:rsidR="00251E47" w:rsidRPr="00C560E7" w:rsidRDefault="00B66B81" w:rsidP="00CC5B8E">
      <w:pPr>
        <w:pStyle w:val="a"/>
        <w:widowControl/>
        <w:numPr>
          <w:ilvl w:val="0"/>
          <w:numId w:val="26"/>
        </w:numPr>
        <w:snapToGrid w:val="0"/>
        <w:spacing w:line="440" w:lineRule="exact"/>
        <w:ind w:left="1134" w:hangingChars="405" w:hanging="1134"/>
        <w:contextualSpacing/>
        <w:textDirection w:val="lrTbV"/>
        <w:rPr>
          <w:rFonts w:hAnsi="標楷體" w:hint="default"/>
          <w:color w:val="000000" w:themeColor="text1"/>
          <w:szCs w:val="28"/>
        </w:rPr>
      </w:pPr>
      <w:r w:rsidRPr="00C560E7">
        <w:rPr>
          <w:rFonts w:ascii="Times New Roman" w:hAnsi="標楷體"/>
          <w:color w:val="000000" w:themeColor="text1"/>
          <w:szCs w:val="28"/>
        </w:rPr>
        <w:lastRenderedPageBreak/>
        <w:t>其他事項詳見招標公告，如有未盡、未載明之事項，悉依政府採購法、民法等相關法令或規定辦理。</w:t>
      </w:r>
      <w:r w:rsidR="00251E47" w:rsidRPr="00C560E7">
        <w:rPr>
          <w:rFonts w:hAnsi="標楷體"/>
          <w:color w:val="000000" w:themeColor="text1"/>
          <w:szCs w:val="28"/>
        </w:rPr>
        <w:br w:type="page"/>
      </w:r>
    </w:p>
    <w:p w14:paraId="0C0B692A" w14:textId="77777777"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5328F5D2" wp14:editId="656B4D35">
                <wp:simplePos x="0" y="0"/>
                <wp:positionH relativeFrom="column">
                  <wp:posOffset>0</wp:posOffset>
                </wp:positionH>
                <wp:positionV relativeFrom="paragraph">
                  <wp:posOffset>45085</wp:posOffset>
                </wp:positionV>
                <wp:extent cx="592228" cy="1404620"/>
                <wp:effectExtent l="0" t="0" r="1778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14:paraId="61DA6F80" w14:textId="77777777" w:rsidR="00B609C2" w:rsidRDefault="00B609C2"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28F5D2"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14:paraId="61DA6F80" w14:textId="77777777" w:rsidR="00B609C2" w:rsidRDefault="00B609C2" w:rsidP="00003B5D">
                      <w:r>
                        <w:rPr>
                          <w:rFonts w:hint="eastAsia"/>
                        </w:rPr>
                        <w:t>附</w:t>
                      </w:r>
                      <w:r>
                        <w:t>錄</w:t>
                      </w:r>
                      <w:r>
                        <w:t>1</w:t>
                      </w:r>
                    </w:p>
                  </w:txbxContent>
                </v:textbox>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14:paraId="2CCE1A12" w14:textId="77777777" w:rsidR="00251E47" w:rsidRPr="00251E47" w:rsidRDefault="00251E47" w:rsidP="00251E47">
      <w:pPr>
        <w:snapToGrid w:val="0"/>
        <w:jc w:val="center"/>
        <w:rPr>
          <w:rFonts w:ascii="標楷體" w:eastAsia="標楷體" w:hAnsi="標楷體"/>
          <w:b/>
          <w:sz w:val="28"/>
          <w:szCs w:val="28"/>
        </w:rPr>
      </w:pPr>
    </w:p>
    <w:p w14:paraId="79CAE5A6" w14:textId="77777777"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14:paraId="77D90B96" w14:textId="77777777"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sidR="00674465">
        <w:rPr>
          <w:rFonts w:ascii="Calibri" w:eastAsia="標楷體" w:hAnsi="標楷體" w:cs="Times New Roman"/>
          <w:b/>
          <w:sz w:val="28"/>
          <w:szCs w:val="32"/>
        </w:rPr>
        <w:t>(</w:t>
      </w:r>
      <w:r w:rsidR="00674465">
        <w:rPr>
          <w:rFonts w:ascii="Calibri" w:eastAsia="標楷體" w:hAnsi="標楷體" w:cs="Times New Roman"/>
          <w:b/>
          <w:sz w:val="28"/>
          <w:szCs w:val="32"/>
        </w:rPr>
        <w:t>或熱浸鍍鋅鋼板等</w:t>
      </w:r>
      <w:r w:rsidR="00674465">
        <w:rPr>
          <w:rFonts w:ascii="Calibri" w:eastAsia="標楷體" w:hAnsi="標楷體" w:cs="Times New Roman"/>
          <w:b/>
          <w:sz w:val="28"/>
          <w:szCs w:val="32"/>
        </w:rPr>
        <w:t>)</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，原房舍為斜屋頂者非適用範圍</w:t>
      </w:r>
      <w:r w:rsidRPr="002C16E6">
        <w:rPr>
          <w:rFonts w:ascii="標楷體" w:eastAsia="標楷體" w:hAnsi="標楷體" w:cs="Times New Roman"/>
          <w:sz w:val="28"/>
          <w:szCs w:val="28"/>
        </w:rPr>
        <w:t>：</w:t>
      </w:r>
    </w:p>
    <w:p w14:paraId="5C9E641D" w14:textId="77777777"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r w:rsidRPr="002C16E6">
        <w:rPr>
          <w:rFonts w:ascii="Calibri" w:eastAsia="標楷體" w:hAnsi="標楷體" w:cs="Times New Roman" w:hint="eastAsia"/>
          <w:sz w:val="28"/>
          <w:szCs w:val="32"/>
        </w:rPr>
        <w:t>乙方裝設太陽光電模組請依現場最佳方式安裝於</w:t>
      </w:r>
      <w:r w:rsidR="00674465">
        <w:rPr>
          <w:rFonts w:ascii="Calibri" w:eastAsia="標楷體" w:hAnsi="標楷體" w:cs="Times New Roman"/>
          <w:sz w:val="28"/>
          <w:szCs w:val="32"/>
        </w:rPr>
        <w:t>鍍鋅鋼板</w:t>
      </w:r>
      <w:r w:rsidR="00674465">
        <w:rPr>
          <w:rFonts w:ascii="Calibri" w:eastAsia="標楷體" w:hAnsi="標楷體" w:cs="Times New Roman"/>
          <w:sz w:val="28"/>
          <w:szCs w:val="32"/>
        </w:rPr>
        <w:t>(</w:t>
      </w:r>
      <w:r w:rsidR="00674465">
        <w:rPr>
          <w:rFonts w:ascii="Calibri" w:eastAsia="標楷體" w:hAnsi="標楷體" w:cs="Times New Roman"/>
          <w:sz w:val="28"/>
          <w:szCs w:val="32"/>
        </w:rPr>
        <w:t>或熱浸鍍鋅鋼板等</w:t>
      </w:r>
      <w:r w:rsidR="00674465">
        <w:rPr>
          <w:rFonts w:ascii="Calibri" w:eastAsia="標楷體" w:hAnsi="標楷體" w:cs="Times New Roman"/>
          <w:sz w:val="28"/>
          <w:szCs w:val="32"/>
        </w:rPr>
        <w:t>)</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w:t>
      </w:r>
      <w:r w:rsidR="00674465">
        <w:rPr>
          <w:rFonts w:ascii="Calibri" w:eastAsia="標楷體" w:hAnsi="標楷體" w:cs="Times New Roman"/>
          <w:sz w:val="28"/>
          <w:szCs w:val="32"/>
        </w:rPr>
        <w:t>(</w:t>
      </w:r>
      <w:r w:rsidR="00674465">
        <w:rPr>
          <w:rFonts w:ascii="Calibri" w:eastAsia="標楷體" w:hAnsi="標楷體" w:cs="Times New Roman"/>
          <w:sz w:val="28"/>
          <w:szCs w:val="32"/>
        </w:rPr>
        <w:t>或熱浸鍍鋅鋼板等</w:t>
      </w:r>
      <w:r w:rsidR="00674465">
        <w:rPr>
          <w:rFonts w:ascii="Calibri" w:eastAsia="標楷體" w:hAnsi="標楷體" w:cs="Times New Roman"/>
          <w:sz w:val="28"/>
          <w:szCs w:val="32"/>
        </w:rPr>
        <w:t>)</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之建構</w:t>
      </w:r>
      <w:r w:rsidRPr="002C16E6">
        <w:rPr>
          <w:rFonts w:ascii="標楷體" w:eastAsia="標楷體" w:hAnsi="標楷體" w:cs="Times New Roman" w:hint="eastAsia"/>
          <w:sz w:val="28"/>
          <w:szCs w:val="32"/>
        </w:rPr>
        <w:t>請參照</w:t>
      </w:r>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、「臺南市免請領建築執照建築物或雜項工作物處理原則」或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14:paraId="437398A8" w14:textId="77777777"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w:t>
      </w:r>
      <w:r w:rsidR="00674465">
        <w:rPr>
          <w:rFonts w:ascii="Calibri" w:eastAsia="標楷體" w:hAnsi="標楷體" w:hint="eastAsia"/>
          <w:sz w:val="28"/>
          <w:szCs w:val="32"/>
        </w:rPr>
        <w:t>(</w:t>
      </w:r>
      <w:r w:rsidR="00674465">
        <w:rPr>
          <w:rFonts w:ascii="Calibri" w:eastAsia="標楷體" w:hAnsi="標楷體" w:hint="eastAsia"/>
          <w:sz w:val="28"/>
          <w:szCs w:val="32"/>
        </w:rPr>
        <w:t>或熱浸鍍鋅鋼板等</w:t>
      </w:r>
      <w:r w:rsidR="00674465">
        <w:rPr>
          <w:rFonts w:ascii="Calibri" w:eastAsia="標楷體" w:hAnsi="標楷體" w:hint="eastAsia"/>
          <w:sz w:val="28"/>
          <w:szCs w:val="32"/>
        </w:rPr>
        <w:t>)</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14:paraId="44B442FE" w14:textId="77777777"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基座以植筋方式施作於原有建築物之柱位為原則，不得施作於屋頂樓地板上（如穿透、植筋、打毛等破壞行為）。</w:t>
      </w:r>
    </w:p>
    <w:p w14:paraId="527ADB92" w14:textId="77777777"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w:t>
      </w:r>
      <w:r>
        <w:rPr>
          <w:rFonts w:ascii="Times New Roman" w:hAnsi="標楷體"/>
          <w:szCs w:val="28"/>
        </w:rPr>
        <w:t>(</w:t>
      </w:r>
      <w:r>
        <w:rPr>
          <w:rFonts w:ascii="Times New Roman" w:hAnsi="標楷體"/>
          <w:szCs w:val="28"/>
        </w:rPr>
        <w:t>或熱浸鍍鋅鋼板等</w:t>
      </w:r>
      <w:r>
        <w:rPr>
          <w:rFonts w:ascii="Times New Roman" w:hAnsi="標楷體"/>
          <w:szCs w:val="28"/>
        </w:rPr>
        <w:t>)</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r w:rsidR="00251E47" w:rsidRPr="002C16E6">
        <w:rPr>
          <w:rFonts w:ascii="Times New Roman" w:hAnsi="標楷體"/>
          <w:szCs w:val="28"/>
        </w:rPr>
        <w:t>”</w:t>
      </w:r>
      <w:r w:rsidR="00251E47" w:rsidRPr="002C16E6">
        <w:rPr>
          <w:rFonts w:ascii="Times New Roman" w:hAnsi="標楷體"/>
          <w:szCs w:val="28"/>
        </w:rPr>
        <w:t>PVC</w:t>
      </w:r>
      <w:r w:rsidR="00251E47" w:rsidRPr="002C16E6">
        <w:rPr>
          <w:rFonts w:ascii="Times New Roman" w:hAnsi="標楷體"/>
          <w:szCs w:val="28"/>
        </w:rPr>
        <w:t>以上落水管接至適當排水溝或落水孔，其所需槽溝斷面及落水管支數，應依集水面積計算決定，臨牆面部分應做好汎水收邊，使雨水沿板面順流至天溝水落。</w:t>
      </w:r>
    </w:p>
    <w:p w14:paraId="4E464CF3" w14:textId="77777777"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14:paraId="7A02E91B" w14:textId="77777777"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14:paraId="5CB5A10D" w14:textId="77777777"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14:paraId="3EF04D75"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支撐架結構設計應符合「建築物耐風設計規範及解說」之規定，惟基本設計風速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14:paraId="23D86443"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支撐架結構設計應依建築物耐風設計規範進行設計，其中用途係數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lastRenderedPageBreak/>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14:paraId="3F8B2140" w14:textId="77777777"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連結固定，連結扣件共計須</w:t>
      </w:r>
      <w:r w:rsidRPr="00500853">
        <w:rPr>
          <w:rFonts w:ascii="Times New Roman" w:hAnsi="標楷體"/>
          <w:szCs w:val="28"/>
        </w:rPr>
        <w:t>6</w:t>
      </w:r>
      <w:r w:rsidRPr="00500853">
        <w:rPr>
          <w:rFonts w:ascii="Times New Roman" w:hAnsi="標楷體"/>
          <w:szCs w:val="28"/>
        </w:rPr>
        <w:t>組以上。</w:t>
      </w:r>
    </w:p>
    <w:p w14:paraId="578775F5" w14:textId="77777777"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包含螺絲、螺帽、彈簧華司、平板華司等</w:t>
      </w:r>
      <w:r w:rsidRPr="00500853">
        <w:rPr>
          <w:rFonts w:ascii="Times New Roman" w:hAnsi="標楷體"/>
          <w:szCs w:val="28"/>
        </w:rPr>
        <w:t>)</w:t>
      </w:r>
      <w:r w:rsidRPr="00500853">
        <w:rPr>
          <w:rFonts w:ascii="Times New Roman" w:hAnsi="標楷體"/>
          <w:szCs w:val="28"/>
        </w:rPr>
        <w:t>及扣件材質必須具抗腐蝕能力，螺絲組</w:t>
      </w:r>
      <w:r w:rsidRPr="00500853">
        <w:rPr>
          <w:rFonts w:ascii="Times New Roman" w:hAnsi="標楷體"/>
          <w:szCs w:val="28"/>
        </w:rPr>
        <w:t>(</w:t>
      </w:r>
      <w:r w:rsidRPr="00500853">
        <w:rPr>
          <w:rFonts w:ascii="Times New Roman" w:hAnsi="標楷體"/>
          <w:szCs w:val="28"/>
        </w:rPr>
        <w:t>包含螺絲、螺帽、平板華司與彈簧華司等</w:t>
      </w:r>
      <w:r w:rsidRPr="00500853">
        <w:rPr>
          <w:rFonts w:ascii="Times New Roman" w:hAnsi="標楷體"/>
          <w:szCs w:val="28"/>
        </w:rPr>
        <w:t>)</w:t>
      </w:r>
      <w:r w:rsidRPr="00500853">
        <w:rPr>
          <w:rFonts w:ascii="Times New Roman" w:hAnsi="標楷體"/>
          <w:szCs w:val="28"/>
        </w:rPr>
        <w:t>應為同一材質，可為熱浸鍍鋅或電鍍鋅材質或不銹鋼材質等抗腐蝕材質，並取得抗腐蝕品質測試報告。</w:t>
      </w:r>
    </w:p>
    <w:p w14:paraId="02C50C74" w14:textId="77777777"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片彈簧華司、至少</w:t>
      </w:r>
      <w:r w:rsidRPr="00500853">
        <w:rPr>
          <w:rFonts w:ascii="Times New Roman" w:hAnsi="標楷體"/>
          <w:szCs w:val="28"/>
        </w:rPr>
        <w:t>2</w:t>
      </w:r>
      <w:r w:rsidRPr="00500853">
        <w:rPr>
          <w:rFonts w:ascii="Times New Roman" w:hAnsi="標楷體"/>
          <w:szCs w:val="28"/>
        </w:rPr>
        <w:t>片平板華司、至少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個抗腐蝕六角蓋型螺帽。</w:t>
      </w:r>
    </w:p>
    <w:p w14:paraId="5C7B6673" w14:textId="77777777"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支撐架金屬基材耐腐蝕性能</w:t>
      </w:r>
      <w:r>
        <w:rPr>
          <w:rFonts w:ascii="Times New Roman" w:eastAsia="標楷體" w:hAnsi="Times New Roman" w:cs="Times New Roman" w:hint="eastAsia"/>
          <w:sz w:val="28"/>
          <w:szCs w:val="28"/>
        </w:rPr>
        <w:t>：</w:t>
      </w:r>
    </w:p>
    <w:p w14:paraId="05163F59"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14:paraId="4188DD39"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若採用鋼構基材，應為一般結構用鋼材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或冷軋鋼構材外加表面防蝕處理，或耐候鋼材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r w:rsidRPr="005409FC">
        <w:rPr>
          <w:rFonts w:ascii="Times New Roman" w:hAnsi="標楷體"/>
          <w:szCs w:val="28"/>
        </w:rPr>
        <w:t>鋼構基材表面處理，須以設置地點符合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r w:rsidRPr="005409FC">
        <w:rPr>
          <w:rFonts w:ascii="Times New Roman" w:hAnsi="標楷體"/>
          <w:szCs w:val="28"/>
        </w:rPr>
        <w:t>以上抗腐蝕性能進行表面處理，並由專業機構提出施作說明與品質保證證明。</w:t>
      </w:r>
    </w:p>
    <w:p w14:paraId="3A9BADC6"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以上等級，並須符合結構安全要求。其表面處理方式採陽極處理厚度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以上之壓克力透明漆之表面防蝕處理，除鋁合金鋁擠型基材外的鋁合金板、小配件等之表面處理方式可為陽極處理厚度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以上及外加一層膜厚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14:paraId="01664526" w14:textId="77777777"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太陽光電模組鋁框與鋼構基材接觸位置應加裝鐵氟龍絕</w:t>
      </w:r>
      <w:r w:rsidRPr="005409FC">
        <w:rPr>
          <w:rFonts w:ascii="Times New Roman" w:hAnsi="標楷體"/>
          <w:szCs w:val="28"/>
        </w:rPr>
        <w:lastRenderedPageBreak/>
        <w:t>緣墊片以隔開二者，避免產生電位差腐蝕；螺絲組與太陽光電模組鋁框接觸處之平板華司下方應再加裝鐵氟龍絕緣墊片以隔開螺絲組及模組鋁框。</w:t>
      </w:r>
    </w:p>
    <w:p w14:paraId="4B776978" w14:textId="77777777"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14:paraId="3F15EFF2"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14:paraId="47A2E391"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租賃期間有關</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安全維護、太陽光電發電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維護管理及公共安全意外之防護均由乙方負責。其造成人員傷亡、財物毀損、鄰房反光部分或管理機關之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、設備受損，應由乙方負責，若因而造成</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被訴或被求償者，乙方應賠償</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14:paraId="4F01048C" w14:textId="77777777"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，應由乙方出資興建。租賃期間所發生之侵權、環保、人員傷亡、意外事件等，均由乙方負責處理，與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14:paraId="751844A6"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14:paraId="3F0E93AF" w14:textId="77777777"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乙方對租賃物應盡善良保管責任，如因故意、過失或施工不良，致不動產及其他設備損毀時，願負一切損害賠償責任，絕無異議，其損害金額得自履約保證金扣除，不足部分再向乙方求償；其需修繕者，亦同。</w:t>
      </w:r>
    </w:p>
    <w:p w14:paraId="2D447253" w14:textId="77777777"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修剪及移植樹木，請依「臺南市樹木修剪施工要領」及「臺南市樹木移植施工要領」辦理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14:paraId="35E29426" w14:textId="77777777"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lastRenderedPageBreak/>
        <w:t>太陽光電發電系統建置完成後於租賃存續期間，設置標的房舍之屋頂樓地板若有漏水情事發生，概由乙方完全負責防漏事宜</w:t>
      </w:r>
      <w:r w:rsidRPr="002C16E6">
        <w:rPr>
          <w:rFonts w:ascii="Times New Roman" w:eastAsia="標楷體" w:hAnsi="Times New Roman" w:cs="Times New Roman"/>
          <w:sz w:val="28"/>
          <w:szCs w:val="28"/>
        </w:rPr>
        <w:t>。</w:t>
      </w:r>
    </w:p>
    <w:p w14:paraId="505A3FE8" w14:textId="77777777" w:rsidR="00251E47" w:rsidRPr="00DA5987"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eastAsia="標楷體" w:hAnsi="標楷體" w:hint="eastAsia"/>
          <w:sz w:val="28"/>
          <w:szCs w:val="28"/>
        </w:rPr>
        <w:t>租賃期間</w:t>
      </w:r>
      <w:r w:rsidRPr="002C16E6">
        <w:rPr>
          <w:rFonts w:ascii="Times New Roman" w:eastAsia="標楷體" w:hAnsi="Times New Roman" w:cs="Times New Roman" w:hint="eastAsia"/>
          <w:sz w:val="28"/>
          <w:szCs w:val="28"/>
        </w:rPr>
        <w:t>系統設置完成後，設置地點具改建計畫，或經</w:t>
      </w:r>
      <w:r>
        <w:rPr>
          <w:rFonts w:ascii="Times New Roman" w:eastAsia="標楷體" w:hAnsi="Times New Roman" w:cs="Times New Roman" w:hint="eastAsia"/>
          <w:sz w:val="28"/>
          <w:szCs w:val="28"/>
        </w:rPr>
        <w:t>本校</w:t>
      </w:r>
      <w:r w:rsidRPr="002C16E6">
        <w:rPr>
          <w:rFonts w:ascii="Times New Roman" w:eastAsia="標楷體" w:hAnsi="Times New Roman" w:cs="Times New Roman" w:hint="eastAsia"/>
          <w:sz w:val="28"/>
          <w:szCs w:val="28"/>
        </w:rPr>
        <w:t>通知，致無法設置太陽光電發電系統之情形時，乙方須自行負責拆移除，但得與</w:t>
      </w:r>
      <w:r>
        <w:rPr>
          <w:rFonts w:ascii="Times New Roman" w:eastAsia="標楷體" w:hAnsi="Times New Roman" w:cs="Times New Roman" w:hint="eastAsia"/>
          <w:sz w:val="28"/>
          <w:szCs w:val="28"/>
        </w:rPr>
        <w:t>本校</w:t>
      </w:r>
      <w:r w:rsidRPr="002C16E6">
        <w:rPr>
          <w:rFonts w:ascii="Times New Roman" w:eastAsia="標楷體" w:hAnsi="Times New Roman" w:cs="Times New Roman" w:hint="eastAsia"/>
          <w:sz w:val="28"/>
          <w:szCs w:val="28"/>
        </w:rPr>
        <w:t>協商重置於其他合適案場，</w:t>
      </w:r>
      <w:r w:rsidRPr="002C16E6">
        <w:rPr>
          <w:rFonts w:eastAsia="標楷體" w:hAnsi="標楷體" w:hint="eastAsia"/>
          <w:sz w:val="28"/>
          <w:szCs w:val="28"/>
        </w:rPr>
        <w:t>若協商不成</w:t>
      </w:r>
      <w:r w:rsidRPr="002C16E6">
        <w:rPr>
          <w:rFonts w:ascii="標楷體" w:eastAsia="標楷體" w:hAnsi="標楷體" w:hint="eastAsia"/>
          <w:sz w:val="28"/>
          <w:szCs w:val="28"/>
        </w:rPr>
        <w:t>，</w:t>
      </w:r>
      <w:r w:rsidRPr="002C16E6">
        <w:rPr>
          <w:rFonts w:eastAsia="標楷體" w:hAnsi="標楷體" w:hint="eastAsia"/>
          <w:sz w:val="28"/>
          <w:szCs w:val="28"/>
        </w:rPr>
        <w:t>後續則朝向終止部分標的處理</w:t>
      </w:r>
      <w:r w:rsidRPr="002C16E6">
        <w:rPr>
          <w:rFonts w:ascii="Times New Roman" w:eastAsia="標楷體" w:hAnsi="Times New Roman" w:cs="Times New Roman" w:hint="eastAsia"/>
          <w:sz w:val="28"/>
          <w:szCs w:val="28"/>
        </w:rPr>
        <w:t>，相關地點復原、設備拆移除、重置費用與相關衍生之損失概由乙方自行負擔。</w:t>
      </w:r>
    </w:p>
    <w:p w14:paraId="315299C6" w14:textId="77777777" w:rsidR="00373E63" w:rsidRDefault="00373E63" w:rsidP="0039601A">
      <w:pPr>
        <w:numPr>
          <w:ilvl w:val="0"/>
          <w:numId w:val="30"/>
        </w:numPr>
        <w:snapToGrid w:val="0"/>
        <w:spacing w:line="440" w:lineRule="exact"/>
        <w:ind w:left="1440"/>
        <w:contextualSpacing/>
        <w:jc w:val="both"/>
        <w:rPr>
          <w:rFonts w:eastAsia="標楷體" w:hAnsi="標楷體"/>
          <w:sz w:val="28"/>
          <w:szCs w:val="28"/>
        </w:rPr>
      </w:pPr>
      <w:r>
        <w:rPr>
          <w:rFonts w:eastAsia="標楷體" w:hAnsi="標楷體" w:hint="eastAsia"/>
          <w:sz w:val="28"/>
          <w:szCs w:val="28"/>
        </w:rPr>
        <w:t xml:space="preserve">  </w:t>
      </w:r>
      <w:r w:rsidR="00251E47" w:rsidRPr="00251E47">
        <w:rPr>
          <w:rFonts w:eastAsia="標楷體" w:hAnsi="標楷體" w:hint="eastAsia"/>
          <w:sz w:val="28"/>
          <w:szCs w:val="28"/>
        </w:rPr>
        <w:t>租賃期間設置地點如遇</w:t>
      </w:r>
      <w:r w:rsidR="00251E47">
        <w:rPr>
          <w:rFonts w:eastAsia="標楷體" w:hAnsi="標楷體" w:hint="eastAsia"/>
          <w:sz w:val="28"/>
          <w:szCs w:val="28"/>
        </w:rPr>
        <w:t>本校</w:t>
      </w:r>
      <w:r w:rsidR="00251E47" w:rsidRPr="00251E47">
        <w:rPr>
          <w:rFonts w:eastAsia="標楷體" w:hAnsi="標楷體" w:hint="eastAsia"/>
          <w:sz w:val="28"/>
          <w:szCs w:val="28"/>
        </w:rPr>
        <w:t>或房舍管理機關（單位）有耐震或結構補強或防水或隔熱或其他工程之需，須暫時遷移該太陽光電發電系統，乙方應無償配合，俾利工程遂行，並俟工程完工後再予復原。若乙方違反本項規定，經</w:t>
      </w:r>
      <w:r w:rsidR="00251E47">
        <w:rPr>
          <w:rFonts w:eastAsia="標楷體" w:hAnsi="標楷體" w:hint="eastAsia"/>
          <w:sz w:val="28"/>
          <w:szCs w:val="28"/>
        </w:rPr>
        <w:t>本校</w:t>
      </w:r>
      <w:r w:rsidR="00251E47" w:rsidRPr="00251E47">
        <w:rPr>
          <w:rFonts w:eastAsia="標楷體" w:hAnsi="標楷體" w:hint="eastAsia"/>
          <w:sz w:val="28"/>
          <w:szCs w:val="28"/>
        </w:rPr>
        <w:t>訂定相當期限，催告乙方改善，逾期未改善時，</w:t>
      </w:r>
      <w:r w:rsidR="00251E47">
        <w:rPr>
          <w:rFonts w:eastAsia="標楷體" w:hAnsi="標楷體" w:hint="eastAsia"/>
          <w:sz w:val="28"/>
          <w:szCs w:val="28"/>
        </w:rPr>
        <w:t>本校</w:t>
      </w:r>
      <w:r w:rsidR="00251E47" w:rsidRPr="00251E47">
        <w:rPr>
          <w:rFonts w:eastAsia="標楷體" w:hAnsi="標楷體" w:hint="eastAsia"/>
          <w:sz w:val="28"/>
          <w:szCs w:val="28"/>
        </w:rPr>
        <w:t>得終止租賃契約，並沒收已繳交之履約保證金或其餘額。</w:t>
      </w:r>
    </w:p>
    <w:p w14:paraId="48E20963" w14:textId="77777777" w:rsidR="00373E63" w:rsidRDefault="00373E63">
      <w:pPr>
        <w:widowControl/>
        <w:rPr>
          <w:rFonts w:eastAsia="標楷體" w:hAnsi="標楷體"/>
          <w:sz w:val="28"/>
          <w:szCs w:val="28"/>
        </w:rPr>
      </w:pPr>
      <w:r>
        <w:rPr>
          <w:rFonts w:eastAsia="標楷體" w:hAnsi="標楷體"/>
          <w:sz w:val="28"/>
          <w:szCs w:val="28"/>
        </w:rPr>
        <w:br w:type="page"/>
      </w:r>
    </w:p>
    <w:p w14:paraId="228EE73E" w14:textId="77777777"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607DD4E0" wp14:editId="565C816C">
                <wp:simplePos x="0" y="0"/>
                <wp:positionH relativeFrom="column">
                  <wp:posOffset>0</wp:posOffset>
                </wp:positionH>
                <wp:positionV relativeFrom="paragraph">
                  <wp:posOffset>45085</wp:posOffset>
                </wp:positionV>
                <wp:extent cx="592228" cy="1404620"/>
                <wp:effectExtent l="0" t="0" r="1778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14:paraId="259F4DE2" w14:textId="77777777" w:rsidR="00B609C2" w:rsidRDefault="00B609C2"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07DD4E0" id="_x0000_s1027" type="#_x0000_t202" style="position:absolute;left:0;text-align:left;margin-left:0;margin-top:3.55pt;width:46.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14:paraId="259F4DE2" w14:textId="77777777" w:rsidR="00B609C2" w:rsidRDefault="00B609C2" w:rsidP="00373E63">
                      <w:r>
                        <w:rPr>
                          <w:rFonts w:hint="eastAsia"/>
                        </w:rPr>
                        <w:t>附</w:t>
                      </w:r>
                      <w:r>
                        <w:t>錄</w:t>
                      </w:r>
                      <w:r>
                        <w:t>2</w:t>
                      </w:r>
                    </w:p>
                  </w:txbxContent>
                </v:textbox>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14:paraId="5F4A0BEA" w14:textId="77777777"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14:paraId="36B7FA68" w14:textId="77777777"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14:paraId="4B0E3EEC" w14:textId="77777777"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，結構柱高起算點為屋頂下緣起算 7公尺為限 ，並符合現行建築法相關規定。</w:t>
      </w:r>
    </w:p>
    <w:p w14:paraId="7C90C716" w14:textId="77777777"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包含球場地坪興建並全面鋪設壓克力漆、畫線及球柱、保護墊等，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鍍鋅鋼板(或熱浸鍍鋅鋼板等)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，結構柱高起算點為屋頂下緣起算7公尺為限，並符合現行建築法相關規定。</w:t>
      </w:r>
    </w:p>
    <w:p w14:paraId="593291A6" w14:textId="77777777"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14:paraId="040A747C" w14:textId="77777777"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14:paraId="20237118" w14:textId="77777777"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14:paraId="0AB67A77" w14:textId="77777777"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35DDE33A" wp14:editId="1C62FD7E">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14:paraId="023A4AFF" w14:textId="77777777" w:rsidR="00B609C2" w:rsidRPr="0008517D" w:rsidRDefault="00B609C2"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5DDE33A"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接點 17" o:spid="_x0000_s1030"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" strokecolor="#4a7ebb" strokeweight="3pt"/>
                  <v:line id="直線接點 18" o:spid="_x0000_s1031"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" adj="-7524,13911,617,11715" filled="f" strokecolor="red" strokeweight="2pt">
                  <v:stroke startarrow="block"/>
                  <v:textbox>
                    <w:txbxContent>
                      <w:p w14:paraId="023A4AFF" w14:textId="77777777" w:rsidR="00B609C2" w:rsidRPr="0008517D" w:rsidRDefault="00B609C2"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1CA380F3" wp14:editId="4796AA44">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14:paraId="085955BB" w14:textId="77777777" w:rsidR="00B609C2" w:rsidRPr="0008517D" w:rsidRDefault="00B609C2"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A380F3"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14:paraId="085955BB" w14:textId="77777777" w:rsidR="00B609C2" w:rsidRPr="0008517D" w:rsidRDefault="00B609C2"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7A0ED12F" wp14:editId="257BFA27">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FDAFA39"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28"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20386A3C" wp14:editId="2F503EE3">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84EB6B" w14:textId="77777777"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14:paraId="27482697" w14:textId="77777777"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134"/>
        <w:gridCol w:w="618"/>
        <w:gridCol w:w="788"/>
        <w:gridCol w:w="5438"/>
      </w:tblGrid>
      <w:tr w:rsidR="00373E63" w:rsidRPr="00EF6059" w14:paraId="08D6B513" w14:textId="77777777" w:rsidTr="00373E63">
        <w:trPr>
          <w:trHeight w:val="210"/>
        </w:trPr>
        <w:tc>
          <w:tcPr>
            <w:tcW w:w="285" w:type="pct"/>
            <w:vAlign w:val="center"/>
          </w:tcPr>
          <w:p w14:paraId="15FD239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14:paraId="2B4BC65B" w14:textId="77777777" w:rsidR="00373E63" w:rsidRPr="00EF6059" w:rsidRDefault="00373E63" w:rsidP="00373E63">
            <w:pPr>
              <w:jc w:val="center"/>
              <w:rPr>
                <w:rFonts w:eastAsia="標楷體"/>
                <w:color w:val="000000" w:themeColor="text1"/>
              </w:rPr>
            </w:pPr>
          </w:p>
        </w:tc>
        <w:tc>
          <w:tcPr>
            <w:tcW w:w="365" w:type="pct"/>
            <w:vAlign w:val="center"/>
          </w:tcPr>
          <w:p w14:paraId="15054AC2"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應</w:t>
            </w:r>
          </w:p>
          <w:p w14:paraId="0711A2B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14:paraId="4A9BD65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14:paraId="577B9B1B"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14:paraId="3BFA352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14:paraId="55123968" w14:textId="77777777" w:rsidTr="00373E63">
        <w:trPr>
          <w:trHeight w:val="302"/>
        </w:trPr>
        <w:tc>
          <w:tcPr>
            <w:tcW w:w="285" w:type="pct"/>
            <w:vMerge w:val="restart"/>
            <w:vAlign w:val="center"/>
          </w:tcPr>
          <w:p w14:paraId="2FED5672" w14:textId="77777777" w:rsidR="00373E63" w:rsidRPr="00EF6059" w:rsidRDefault="009C1AE0" w:rsidP="00373E63">
            <w:pPr>
              <w:jc w:val="center"/>
              <w:rPr>
                <w:rFonts w:eastAsia="標楷體"/>
                <w:color w:val="000000" w:themeColor="text1"/>
              </w:rPr>
            </w:pPr>
            <w:r>
              <w:rPr>
                <w:rFonts w:eastAsia="標楷體" w:hint="eastAsia"/>
                <w:color w:val="000000" w:themeColor="text1"/>
              </w:rPr>
              <w:t>光電</w:t>
            </w:r>
            <w:r w:rsidR="00373E63" w:rsidRPr="00EF6059">
              <w:rPr>
                <w:rFonts w:eastAsia="標楷體"/>
                <w:color w:val="000000" w:themeColor="text1"/>
              </w:rPr>
              <w:t>風雨球場</w:t>
            </w:r>
          </w:p>
          <w:p w14:paraId="3F1A244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14:paraId="68EDF7C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屋頂柱高</w:t>
            </w:r>
          </w:p>
        </w:tc>
        <w:tc>
          <w:tcPr>
            <w:tcW w:w="365" w:type="pct"/>
            <w:vAlign w:val="center"/>
          </w:tcPr>
          <w:p w14:paraId="0C486F08"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51D84D89" w14:textId="77777777" w:rsidR="00373E63" w:rsidRPr="00EF6059" w:rsidRDefault="00373E63" w:rsidP="00373E63">
            <w:pPr>
              <w:jc w:val="center"/>
              <w:rPr>
                <w:rFonts w:eastAsia="標楷體"/>
                <w:color w:val="000000" w:themeColor="text1"/>
              </w:rPr>
            </w:pPr>
          </w:p>
        </w:tc>
        <w:tc>
          <w:tcPr>
            <w:tcW w:w="3214" w:type="pct"/>
            <w:vAlign w:val="center"/>
          </w:tcPr>
          <w:p w14:paraId="7223737B"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設置之棚架式太陽光電發電系統住高起算點為屋頂下緣算起</w:t>
            </w:r>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14:paraId="4133F260" w14:textId="77777777" w:rsidTr="00373E63">
        <w:trPr>
          <w:trHeight w:val="265"/>
        </w:trPr>
        <w:tc>
          <w:tcPr>
            <w:tcW w:w="285" w:type="pct"/>
            <w:vMerge/>
            <w:vAlign w:val="center"/>
          </w:tcPr>
          <w:p w14:paraId="37313136" w14:textId="77777777" w:rsidR="00373E63" w:rsidRPr="00EF6059" w:rsidRDefault="00373E63" w:rsidP="00373E63">
            <w:pPr>
              <w:rPr>
                <w:rFonts w:eastAsia="標楷體"/>
                <w:color w:val="000000" w:themeColor="text1"/>
              </w:rPr>
            </w:pPr>
          </w:p>
        </w:tc>
        <w:tc>
          <w:tcPr>
            <w:tcW w:w="670" w:type="pct"/>
            <w:vAlign w:val="center"/>
          </w:tcPr>
          <w:p w14:paraId="7539A3B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14:paraId="3F4A2E58" w14:textId="77777777" w:rsidR="00373E63" w:rsidRPr="00EF6059" w:rsidRDefault="00373E63" w:rsidP="00373E63">
            <w:pPr>
              <w:jc w:val="center"/>
              <w:rPr>
                <w:rFonts w:eastAsia="標楷體"/>
                <w:color w:val="000000" w:themeColor="text1"/>
              </w:rPr>
            </w:pPr>
          </w:p>
        </w:tc>
        <w:tc>
          <w:tcPr>
            <w:tcW w:w="466" w:type="pct"/>
            <w:vAlign w:val="center"/>
          </w:tcPr>
          <w:p w14:paraId="1BE0CCD9"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14:paraId="1A1F635F"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14:paraId="068F2C96" w14:textId="77777777" w:rsidTr="00373E63">
        <w:trPr>
          <w:trHeight w:val="265"/>
        </w:trPr>
        <w:tc>
          <w:tcPr>
            <w:tcW w:w="285" w:type="pct"/>
            <w:vMerge/>
            <w:vAlign w:val="center"/>
          </w:tcPr>
          <w:p w14:paraId="00E635EE" w14:textId="77777777" w:rsidR="00373E63" w:rsidRPr="00EF6059" w:rsidRDefault="00373E63" w:rsidP="00373E63">
            <w:pPr>
              <w:rPr>
                <w:rFonts w:eastAsia="標楷體"/>
                <w:color w:val="000000" w:themeColor="text1"/>
              </w:rPr>
            </w:pPr>
          </w:p>
        </w:tc>
        <w:tc>
          <w:tcPr>
            <w:tcW w:w="670" w:type="pct"/>
            <w:vAlign w:val="center"/>
          </w:tcPr>
          <w:p w14:paraId="1AAF91E7"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14:paraId="5C7D055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434399D6" w14:textId="77777777" w:rsidR="00373E63" w:rsidRPr="00EF6059" w:rsidRDefault="00373E63" w:rsidP="00373E63">
            <w:pPr>
              <w:jc w:val="center"/>
              <w:rPr>
                <w:rFonts w:eastAsia="標楷體"/>
                <w:color w:val="000000" w:themeColor="text1"/>
              </w:rPr>
            </w:pPr>
          </w:p>
        </w:tc>
        <w:tc>
          <w:tcPr>
            <w:tcW w:w="3214" w:type="pct"/>
            <w:vAlign w:val="center"/>
          </w:tcPr>
          <w:p w14:paraId="13718F32"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r w:rsidRPr="00EF6059">
              <w:rPr>
                <w:rFonts w:eastAsia="標楷體"/>
                <w:color w:val="000000" w:themeColor="text1"/>
              </w:rPr>
              <w:t>需包覆由地面起算高度達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14:paraId="4D5E6CA2" w14:textId="77777777" w:rsidTr="00373E63">
        <w:trPr>
          <w:trHeight w:val="266"/>
        </w:trPr>
        <w:tc>
          <w:tcPr>
            <w:tcW w:w="285" w:type="pct"/>
            <w:vMerge/>
          </w:tcPr>
          <w:p w14:paraId="3DAE2B8B" w14:textId="77777777" w:rsidR="00373E63" w:rsidRPr="00EF6059" w:rsidRDefault="00373E63" w:rsidP="00373E63">
            <w:pPr>
              <w:rPr>
                <w:rFonts w:eastAsia="標楷體"/>
                <w:color w:val="000000" w:themeColor="text1"/>
              </w:rPr>
            </w:pPr>
          </w:p>
        </w:tc>
        <w:tc>
          <w:tcPr>
            <w:tcW w:w="670" w:type="pct"/>
            <w:vAlign w:val="center"/>
          </w:tcPr>
          <w:p w14:paraId="5DC93E0C" w14:textId="77777777"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14:paraId="0C5E484D" w14:textId="77777777" w:rsidR="00373E63" w:rsidRPr="00EF6059" w:rsidRDefault="009C1AE0"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180861B4" w14:textId="77777777" w:rsidR="00373E63" w:rsidRPr="00EF6059" w:rsidRDefault="00373E63" w:rsidP="00373E63">
            <w:pPr>
              <w:overflowPunct w:val="0"/>
              <w:jc w:val="center"/>
              <w:rPr>
                <w:rFonts w:eastAsia="標楷體"/>
                <w:color w:val="000000" w:themeColor="text1"/>
              </w:rPr>
            </w:pPr>
          </w:p>
        </w:tc>
        <w:tc>
          <w:tcPr>
            <w:tcW w:w="3214" w:type="pct"/>
            <w:vAlign w:val="center"/>
          </w:tcPr>
          <w:p w14:paraId="149904EB" w14:textId="77777777" w:rsidR="00373E63" w:rsidRPr="00EF6059" w:rsidRDefault="009C1AE0" w:rsidP="009C1AE0">
            <w:pPr>
              <w:overflowPunct w:val="0"/>
              <w:spacing w:line="320" w:lineRule="exact"/>
              <w:jc w:val="both"/>
              <w:rPr>
                <w:rFonts w:eastAsia="標楷體"/>
                <w:color w:val="000000" w:themeColor="text1"/>
              </w:rPr>
            </w:pPr>
            <w:r>
              <w:rPr>
                <w:rFonts w:eastAsia="標楷體" w:hint="eastAsia"/>
                <w:color w:val="000000" w:themeColor="text1"/>
              </w:rPr>
              <w:t>球場</w:t>
            </w:r>
            <w:r w:rsidR="00373E63" w:rsidRPr="00EF6059">
              <w:rPr>
                <w:rFonts w:eastAsia="標楷體"/>
                <w:color w:val="000000" w:themeColor="text1"/>
              </w:rPr>
              <w:t>照明設備由廠商</w:t>
            </w:r>
            <w:r>
              <w:rPr>
                <w:rFonts w:eastAsia="標楷體" w:hint="eastAsia"/>
                <w:color w:val="000000" w:themeColor="text1"/>
              </w:rPr>
              <w:t>負責</w:t>
            </w:r>
            <w:r w:rsidR="00373E63" w:rsidRPr="00EF6059">
              <w:rPr>
                <w:rFonts w:eastAsia="標楷體"/>
                <w:color w:val="000000" w:themeColor="text1"/>
              </w:rPr>
              <w:t>裝設，則納入契約中，並落實後續維護；照明設備應選擇適合該球場之照明設備，或燈具發光效率大於</w:t>
            </w:r>
            <w:r w:rsidR="00373E63" w:rsidRPr="00EF6059">
              <w:rPr>
                <w:rFonts w:eastAsia="標楷體"/>
                <w:color w:val="000000" w:themeColor="text1"/>
              </w:rPr>
              <w:t>100lm/W(</w:t>
            </w:r>
            <w:r w:rsidR="00373E63" w:rsidRPr="00EF6059">
              <w:rPr>
                <w:rFonts w:eastAsia="標楷體"/>
                <w:color w:val="000000" w:themeColor="text1"/>
              </w:rPr>
              <w:t>流明</w:t>
            </w:r>
            <w:r w:rsidR="00373E63" w:rsidRPr="00EF6059">
              <w:rPr>
                <w:rFonts w:eastAsia="標楷體"/>
                <w:color w:val="000000" w:themeColor="text1"/>
              </w:rPr>
              <w:t>)</w:t>
            </w:r>
            <w:r w:rsidR="00373E63" w:rsidRPr="00EF6059">
              <w:rPr>
                <w:rFonts w:eastAsia="標楷體"/>
                <w:color w:val="000000" w:themeColor="text1"/>
              </w:rPr>
              <w:t>。</w:t>
            </w:r>
          </w:p>
        </w:tc>
      </w:tr>
      <w:tr w:rsidR="00373E63" w:rsidRPr="00EF6059" w14:paraId="10C1B7DC" w14:textId="77777777" w:rsidTr="00373E63">
        <w:trPr>
          <w:trHeight w:val="266"/>
        </w:trPr>
        <w:tc>
          <w:tcPr>
            <w:tcW w:w="285" w:type="pct"/>
            <w:vMerge/>
          </w:tcPr>
          <w:p w14:paraId="3A7A64B5" w14:textId="77777777" w:rsidR="00373E63" w:rsidRPr="00EF6059" w:rsidRDefault="00373E63" w:rsidP="00373E63">
            <w:pPr>
              <w:rPr>
                <w:rFonts w:eastAsia="標楷體"/>
                <w:color w:val="000000" w:themeColor="text1"/>
              </w:rPr>
            </w:pPr>
          </w:p>
        </w:tc>
        <w:tc>
          <w:tcPr>
            <w:tcW w:w="670" w:type="pct"/>
            <w:vAlign w:val="center"/>
          </w:tcPr>
          <w:p w14:paraId="04765624" w14:textId="77777777" w:rsidR="00373E63" w:rsidRPr="00EF6059" w:rsidRDefault="00674465" w:rsidP="00373E63">
            <w:pPr>
              <w:jc w:val="center"/>
              <w:rPr>
                <w:rFonts w:eastAsia="標楷體"/>
                <w:color w:val="000000" w:themeColor="text1"/>
              </w:rPr>
            </w:pPr>
            <w:r>
              <w:rPr>
                <w:rFonts w:eastAsia="標楷體" w:hint="eastAsia"/>
                <w:color w:val="000000" w:themeColor="text1"/>
              </w:rPr>
              <w:t>鍍鋅鋼板</w:t>
            </w:r>
            <w:r>
              <w:rPr>
                <w:rFonts w:eastAsia="標楷體" w:hint="eastAsia"/>
                <w:color w:val="000000" w:themeColor="text1"/>
              </w:rPr>
              <w:t>(</w:t>
            </w:r>
            <w:r>
              <w:rPr>
                <w:rFonts w:eastAsia="標楷體" w:hint="eastAsia"/>
                <w:color w:val="000000" w:themeColor="text1"/>
              </w:rPr>
              <w:t>或熱浸鍍鋅鋼板等</w:t>
            </w:r>
            <w:r>
              <w:rPr>
                <w:rFonts w:eastAsia="標楷體" w:hint="eastAsia"/>
                <w:color w:val="000000" w:themeColor="text1"/>
              </w:rPr>
              <w:t>)</w:t>
            </w:r>
            <w:r w:rsidR="00373E63" w:rsidRPr="00EF6059">
              <w:rPr>
                <w:rFonts w:eastAsia="標楷體" w:hint="eastAsia"/>
                <w:color w:val="000000" w:themeColor="text1"/>
              </w:rPr>
              <w:t>屋頂</w:t>
            </w:r>
          </w:p>
        </w:tc>
        <w:tc>
          <w:tcPr>
            <w:tcW w:w="365" w:type="pct"/>
            <w:vAlign w:val="center"/>
          </w:tcPr>
          <w:p w14:paraId="4AD34326" w14:textId="77777777" w:rsidR="00373E63" w:rsidRPr="00EF6059" w:rsidRDefault="00373E63" w:rsidP="00373E63">
            <w:pPr>
              <w:jc w:val="center"/>
              <w:rPr>
                <w:rFonts w:eastAsia="標楷體"/>
                <w:color w:val="000000" w:themeColor="text1"/>
              </w:rPr>
            </w:pPr>
          </w:p>
        </w:tc>
        <w:tc>
          <w:tcPr>
            <w:tcW w:w="466" w:type="pct"/>
            <w:vAlign w:val="center"/>
          </w:tcPr>
          <w:p w14:paraId="25C3D8C1" w14:textId="77777777"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14:paraId="655F36AF" w14:textId="77777777"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w:t>
            </w:r>
            <w:r w:rsidR="00674465">
              <w:rPr>
                <w:rFonts w:eastAsia="標楷體" w:hint="eastAsia"/>
                <w:color w:val="000000" w:themeColor="text1"/>
              </w:rPr>
              <w:t>(</w:t>
            </w:r>
            <w:r w:rsidR="00674465">
              <w:rPr>
                <w:rFonts w:eastAsia="標楷體" w:hint="eastAsia"/>
                <w:color w:val="000000" w:themeColor="text1"/>
              </w:rPr>
              <w:t>或熱浸鍍鋅鋼板等</w:t>
            </w:r>
            <w:r w:rsidR="00674465">
              <w:rPr>
                <w:rFonts w:eastAsia="標楷體" w:hint="eastAsia"/>
                <w:color w:val="000000" w:themeColor="text1"/>
              </w:rPr>
              <w:t>)</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14:paraId="1D80C2FA" w14:textId="77777777" w:rsidTr="00373E63">
        <w:trPr>
          <w:trHeight w:val="454"/>
        </w:trPr>
        <w:tc>
          <w:tcPr>
            <w:tcW w:w="285" w:type="pct"/>
            <w:vMerge/>
          </w:tcPr>
          <w:p w14:paraId="72B7360E" w14:textId="77777777" w:rsidR="00373E63" w:rsidRPr="00EF6059" w:rsidRDefault="00373E63" w:rsidP="00373E63">
            <w:pPr>
              <w:rPr>
                <w:rFonts w:eastAsia="標楷體"/>
                <w:color w:val="000000" w:themeColor="text1"/>
              </w:rPr>
            </w:pPr>
          </w:p>
        </w:tc>
        <w:tc>
          <w:tcPr>
            <w:tcW w:w="670" w:type="pct"/>
            <w:vAlign w:val="center"/>
          </w:tcPr>
          <w:p w14:paraId="79A1ADB2"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14:paraId="4A91742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492305EA" w14:textId="77777777"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14:paraId="5FA6CFDA" w14:textId="77777777"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14:paraId="109C472A" w14:textId="77777777" w:rsidTr="00373E63">
        <w:trPr>
          <w:trHeight w:val="454"/>
        </w:trPr>
        <w:tc>
          <w:tcPr>
            <w:tcW w:w="285" w:type="pct"/>
            <w:vMerge/>
          </w:tcPr>
          <w:p w14:paraId="6FC4B00F" w14:textId="77777777" w:rsidR="00373E63" w:rsidRPr="00EF6059" w:rsidRDefault="00373E63" w:rsidP="00373E63">
            <w:pPr>
              <w:rPr>
                <w:rFonts w:eastAsia="標楷體"/>
                <w:color w:val="000000" w:themeColor="text1"/>
              </w:rPr>
            </w:pPr>
          </w:p>
        </w:tc>
        <w:tc>
          <w:tcPr>
            <w:tcW w:w="670" w:type="pct"/>
            <w:vAlign w:val="center"/>
          </w:tcPr>
          <w:p w14:paraId="67A314FA" w14:textId="77777777" w:rsidR="009B54CF" w:rsidRDefault="00373E63" w:rsidP="00373E63">
            <w:pPr>
              <w:jc w:val="center"/>
              <w:rPr>
                <w:rFonts w:eastAsia="標楷體"/>
                <w:color w:val="000000" w:themeColor="text1"/>
              </w:rPr>
            </w:pPr>
            <w:r w:rsidRPr="00EF6059">
              <w:rPr>
                <w:rFonts w:eastAsia="標楷體"/>
                <w:color w:val="000000" w:themeColor="text1"/>
              </w:rPr>
              <w:t>隔離</w:t>
            </w:r>
          </w:p>
          <w:p w14:paraId="76689974"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14:paraId="25D3E0CB" w14:textId="77777777" w:rsidR="009B54CF" w:rsidRDefault="00373E63" w:rsidP="00373E63">
            <w:pPr>
              <w:jc w:val="center"/>
              <w:rPr>
                <w:rFonts w:eastAsia="標楷體"/>
                <w:color w:val="000000" w:themeColor="text1"/>
              </w:rPr>
            </w:pPr>
            <w:r w:rsidRPr="00EF6059">
              <w:rPr>
                <w:rFonts w:eastAsia="標楷體"/>
                <w:color w:val="000000" w:themeColor="text1"/>
              </w:rPr>
              <w:t>接地</w:t>
            </w:r>
          </w:p>
          <w:p w14:paraId="4C6383B8" w14:textId="77777777"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14:paraId="20C0F79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25E85712" w14:textId="77777777" w:rsidR="00373E63" w:rsidRPr="00EF6059" w:rsidRDefault="00373E63" w:rsidP="00373E63">
            <w:pPr>
              <w:jc w:val="center"/>
              <w:rPr>
                <w:rFonts w:eastAsia="標楷體"/>
                <w:color w:val="000000" w:themeColor="text1"/>
              </w:rPr>
            </w:pPr>
          </w:p>
        </w:tc>
        <w:tc>
          <w:tcPr>
            <w:tcW w:w="3214" w:type="pct"/>
            <w:vAlign w:val="center"/>
          </w:tcPr>
          <w:p w14:paraId="5D610BE1"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14:paraId="6F11955F"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14:paraId="34B67670" w14:textId="77777777" w:rsidTr="00373E63">
        <w:trPr>
          <w:trHeight w:val="454"/>
        </w:trPr>
        <w:tc>
          <w:tcPr>
            <w:tcW w:w="285" w:type="pct"/>
            <w:vMerge/>
            <w:vAlign w:val="center"/>
          </w:tcPr>
          <w:p w14:paraId="5662CE3A" w14:textId="77777777" w:rsidR="00373E63" w:rsidRPr="00EF6059" w:rsidRDefault="00373E63" w:rsidP="00373E63">
            <w:pPr>
              <w:jc w:val="center"/>
              <w:rPr>
                <w:rFonts w:eastAsia="標楷體"/>
                <w:color w:val="000000" w:themeColor="text1"/>
              </w:rPr>
            </w:pPr>
          </w:p>
        </w:tc>
        <w:tc>
          <w:tcPr>
            <w:tcW w:w="670" w:type="pct"/>
            <w:vAlign w:val="center"/>
          </w:tcPr>
          <w:p w14:paraId="278E7B3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14:paraId="20198EED"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0F8CD871" w14:textId="77777777" w:rsidR="00373E63" w:rsidRPr="00EF6059" w:rsidRDefault="00373E63" w:rsidP="00373E63">
            <w:pPr>
              <w:jc w:val="center"/>
              <w:rPr>
                <w:rFonts w:eastAsia="標楷體"/>
                <w:color w:val="000000" w:themeColor="text1"/>
              </w:rPr>
            </w:pPr>
          </w:p>
        </w:tc>
        <w:tc>
          <w:tcPr>
            <w:tcW w:w="3214" w:type="pct"/>
            <w:vAlign w:val="center"/>
          </w:tcPr>
          <w:p w14:paraId="29581F53"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14:paraId="714A1EAA" w14:textId="77777777" w:rsidTr="00373E63">
        <w:trPr>
          <w:trHeight w:val="454"/>
        </w:trPr>
        <w:tc>
          <w:tcPr>
            <w:tcW w:w="285" w:type="pct"/>
            <w:vMerge w:val="restart"/>
            <w:vAlign w:val="center"/>
          </w:tcPr>
          <w:p w14:paraId="56EA84DF"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14:paraId="7DF84536" w14:textId="77777777"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14:paraId="38841F87" w14:textId="77777777"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14:paraId="3FBA6213"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6C51392F" w14:textId="77777777" w:rsidR="00373E63" w:rsidRPr="00EF6059" w:rsidRDefault="00373E63" w:rsidP="00373E63">
            <w:pPr>
              <w:jc w:val="center"/>
              <w:rPr>
                <w:rFonts w:eastAsia="標楷體"/>
                <w:color w:val="000000" w:themeColor="text1"/>
              </w:rPr>
            </w:pPr>
          </w:p>
        </w:tc>
        <w:tc>
          <w:tcPr>
            <w:tcW w:w="3214" w:type="pct"/>
            <w:vAlign w:val="center"/>
          </w:tcPr>
          <w:p w14:paraId="030BA874"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14:paraId="73DECC5B" w14:textId="77777777" w:rsidTr="00373E63">
        <w:trPr>
          <w:trHeight w:val="253"/>
        </w:trPr>
        <w:tc>
          <w:tcPr>
            <w:tcW w:w="285" w:type="pct"/>
            <w:vMerge/>
          </w:tcPr>
          <w:p w14:paraId="43874643" w14:textId="77777777" w:rsidR="00373E63" w:rsidRPr="00EF6059" w:rsidRDefault="00373E63" w:rsidP="00373E63">
            <w:pPr>
              <w:rPr>
                <w:rFonts w:eastAsia="標楷體"/>
                <w:color w:val="000000" w:themeColor="text1"/>
              </w:rPr>
            </w:pPr>
          </w:p>
        </w:tc>
        <w:tc>
          <w:tcPr>
            <w:tcW w:w="670" w:type="pct"/>
            <w:vMerge/>
            <w:vAlign w:val="center"/>
          </w:tcPr>
          <w:p w14:paraId="379F557A" w14:textId="77777777" w:rsidR="00373E63" w:rsidRPr="00EF6059" w:rsidRDefault="00373E63" w:rsidP="00373E63">
            <w:pPr>
              <w:jc w:val="center"/>
              <w:rPr>
                <w:rFonts w:eastAsia="標楷體"/>
                <w:color w:val="000000" w:themeColor="text1"/>
              </w:rPr>
            </w:pPr>
          </w:p>
        </w:tc>
        <w:tc>
          <w:tcPr>
            <w:tcW w:w="365" w:type="pct"/>
            <w:vAlign w:val="center"/>
          </w:tcPr>
          <w:p w14:paraId="769EFAB0"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4C043C2E" w14:textId="77777777" w:rsidR="00373E63" w:rsidRPr="00EF6059" w:rsidRDefault="00373E63" w:rsidP="00373E63">
            <w:pPr>
              <w:jc w:val="center"/>
              <w:rPr>
                <w:rFonts w:eastAsia="標楷體"/>
                <w:color w:val="000000" w:themeColor="text1"/>
              </w:rPr>
            </w:pPr>
          </w:p>
        </w:tc>
        <w:tc>
          <w:tcPr>
            <w:tcW w:w="3214" w:type="pct"/>
            <w:vAlign w:val="center"/>
          </w:tcPr>
          <w:p w14:paraId="59858F7E" w14:textId="77777777"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14:paraId="23D45A24" w14:textId="77777777" w:rsidTr="00373E63">
        <w:trPr>
          <w:trHeight w:val="339"/>
        </w:trPr>
        <w:tc>
          <w:tcPr>
            <w:tcW w:w="285" w:type="pct"/>
            <w:vMerge/>
          </w:tcPr>
          <w:p w14:paraId="4552BB5D" w14:textId="77777777" w:rsidR="00373E63" w:rsidRPr="00EF6059" w:rsidRDefault="00373E63" w:rsidP="00373E63">
            <w:pPr>
              <w:rPr>
                <w:rFonts w:eastAsia="標楷體"/>
                <w:color w:val="000000" w:themeColor="text1"/>
              </w:rPr>
            </w:pPr>
          </w:p>
        </w:tc>
        <w:tc>
          <w:tcPr>
            <w:tcW w:w="670" w:type="pct"/>
            <w:vMerge/>
            <w:vAlign w:val="center"/>
          </w:tcPr>
          <w:p w14:paraId="11EAC5D1" w14:textId="77777777" w:rsidR="00373E63" w:rsidRPr="00EF6059" w:rsidRDefault="00373E63" w:rsidP="00373E63">
            <w:pPr>
              <w:jc w:val="center"/>
              <w:rPr>
                <w:rFonts w:eastAsia="標楷體"/>
                <w:color w:val="000000" w:themeColor="text1"/>
              </w:rPr>
            </w:pPr>
          </w:p>
        </w:tc>
        <w:tc>
          <w:tcPr>
            <w:tcW w:w="365" w:type="pct"/>
            <w:vAlign w:val="center"/>
          </w:tcPr>
          <w:p w14:paraId="76B38D08"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61366F41" w14:textId="77777777" w:rsidR="00373E63" w:rsidRPr="00EF6059" w:rsidRDefault="00373E63" w:rsidP="00373E63">
            <w:pPr>
              <w:jc w:val="center"/>
              <w:rPr>
                <w:rFonts w:eastAsia="標楷體"/>
                <w:color w:val="000000" w:themeColor="text1"/>
              </w:rPr>
            </w:pPr>
          </w:p>
        </w:tc>
        <w:tc>
          <w:tcPr>
            <w:tcW w:w="3214" w:type="pct"/>
            <w:vAlign w:val="center"/>
          </w:tcPr>
          <w:p w14:paraId="0056FA7E" w14:textId="77777777"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太陽光電模組鋁框與鋼構材接觸位置是否加裝鐵氟龍絕緣墊片以隔開二者，避免產生電位差腐蝕</w:t>
            </w:r>
          </w:p>
        </w:tc>
      </w:tr>
      <w:tr w:rsidR="00373E63" w:rsidRPr="00EF6059" w14:paraId="39274950" w14:textId="77777777" w:rsidTr="00373E63">
        <w:trPr>
          <w:trHeight w:val="702"/>
        </w:trPr>
        <w:tc>
          <w:tcPr>
            <w:tcW w:w="285" w:type="pct"/>
            <w:vMerge/>
          </w:tcPr>
          <w:p w14:paraId="2492CA8F" w14:textId="77777777" w:rsidR="00373E63" w:rsidRPr="00EF6059" w:rsidRDefault="00373E63" w:rsidP="00373E63">
            <w:pPr>
              <w:rPr>
                <w:rFonts w:eastAsia="標楷體"/>
                <w:color w:val="000000" w:themeColor="text1"/>
              </w:rPr>
            </w:pPr>
          </w:p>
        </w:tc>
        <w:tc>
          <w:tcPr>
            <w:tcW w:w="670" w:type="pct"/>
            <w:vMerge/>
            <w:vAlign w:val="center"/>
          </w:tcPr>
          <w:p w14:paraId="2E7189A5" w14:textId="77777777" w:rsidR="00373E63" w:rsidRPr="00EF6059" w:rsidRDefault="00373E63" w:rsidP="00373E63">
            <w:pPr>
              <w:jc w:val="center"/>
              <w:rPr>
                <w:rFonts w:eastAsia="標楷體"/>
                <w:color w:val="000000" w:themeColor="text1"/>
              </w:rPr>
            </w:pPr>
          </w:p>
        </w:tc>
        <w:tc>
          <w:tcPr>
            <w:tcW w:w="365" w:type="pct"/>
            <w:vAlign w:val="center"/>
          </w:tcPr>
          <w:p w14:paraId="54BA5389" w14:textId="77777777"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14:paraId="0B238B62" w14:textId="77777777" w:rsidR="00373E63" w:rsidRPr="00EF6059" w:rsidRDefault="00373E63" w:rsidP="00373E63">
            <w:pPr>
              <w:jc w:val="center"/>
              <w:rPr>
                <w:rFonts w:eastAsia="標楷體"/>
                <w:color w:val="000000" w:themeColor="text1"/>
              </w:rPr>
            </w:pPr>
          </w:p>
        </w:tc>
        <w:tc>
          <w:tcPr>
            <w:tcW w:w="3214" w:type="pct"/>
            <w:vAlign w:val="center"/>
          </w:tcPr>
          <w:p w14:paraId="6DA6F58E" w14:textId="77777777"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螺絲組與太陽光電模組鋁框接觸處之平板華司下方應再加裝鐵氟龍絕緣墊片以隔開螺絲組及模組鋁框</w:t>
            </w:r>
          </w:p>
        </w:tc>
      </w:tr>
    </w:tbl>
    <w:p w14:paraId="33345E4D" w14:textId="77777777"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14:paraId="7B127A73" w14:textId="77777777"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14:paraId="0EF07CC0" w14:textId="77777777"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lastRenderedPageBreak/>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012"/>
        <w:gridCol w:w="618"/>
        <w:gridCol w:w="788"/>
        <w:gridCol w:w="5438"/>
      </w:tblGrid>
      <w:tr w:rsidR="00373E63" w:rsidRPr="00EF6059" w14:paraId="5729BA00" w14:textId="77777777" w:rsidTr="00373E63">
        <w:trPr>
          <w:trHeight w:val="454"/>
        </w:trPr>
        <w:tc>
          <w:tcPr>
            <w:tcW w:w="357" w:type="pct"/>
            <w:vAlign w:val="center"/>
          </w:tcPr>
          <w:p w14:paraId="3AEE85AD"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14:paraId="6B8B12F7" w14:textId="77777777"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14:paraId="516374C2"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14:paraId="6F830706"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14:paraId="10B15523"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14:paraId="7E1BDF2D" w14:textId="77777777" w:rsidR="00373E63" w:rsidRPr="00EF6059" w:rsidRDefault="00373E63" w:rsidP="00373E63">
            <w:pPr>
              <w:autoSpaceDE w:val="0"/>
              <w:autoSpaceDN w:val="0"/>
              <w:snapToGrid w:val="0"/>
              <w:ind w:right="96"/>
              <w:jc w:val="center"/>
              <w:rPr>
                <w:rFonts w:eastAsia="標楷體"/>
                <w:color w:val="000000" w:themeColor="text1"/>
                <w:kern w:val="0"/>
              </w:rPr>
            </w:pPr>
            <w:r w:rsidRPr="00EF6059">
              <w:rPr>
                <w:rFonts w:eastAsia="標楷體"/>
                <w:color w:val="000000" w:themeColor="text1"/>
                <w:kern w:val="0"/>
                <w:sz w:val="22"/>
                <w:lang w:eastAsia="en-US"/>
              </w:rPr>
              <w:t>項目</w:t>
            </w:r>
          </w:p>
        </w:tc>
        <w:tc>
          <w:tcPr>
            <w:tcW w:w="3214" w:type="pct"/>
            <w:vAlign w:val="center"/>
          </w:tcPr>
          <w:p w14:paraId="0E4DBBC9" w14:textId="77777777" w:rsidR="00373E63" w:rsidRPr="00EF6059" w:rsidRDefault="00373E63" w:rsidP="00373E63">
            <w:pPr>
              <w:autoSpaceDE w:val="0"/>
              <w:autoSpaceDN w:val="0"/>
              <w:snapToGrid w:val="0"/>
              <w:ind w:right="96"/>
              <w:jc w:val="both"/>
              <w:rPr>
                <w:rFonts w:eastAsia="標楷體"/>
                <w:color w:val="000000" w:themeColor="text1"/>
                <w:kern w:val="0"/>
              </w:rPr>
            </w:pPr>
            <w:r w:rsidRPr="00EF6059">
              <w:rPr>
                <w:rFonts w:eastAsia="標楷體"/>
                <w:color w:val="000000" w:themeColor="text1"/>
                <w:kern w:val="0"/>
                <w:lang w:eastAsia="en-US"/>
              </w:rPr>
              <w:t>項目</w:t>
            </w:r>
          </w:p>
        </w:tc>
      </w:tr>
      <w:tr w:rsidR="00373E63" w:rsidRPr="00EF6059" w14:paraId="0BE669C8" w14:textId="77777777" w:rsidTr="00373E63">
        <w:trPr>
          <w:trHeight w:val="454"/>
        </w:trPr>
        <w:tc>
          <w:tcPr>
            <w:tcW w:w="357" w:type="pct"/>
            <w:vMerge w:val="restart"/>
            <w:vAlign w:val="center"/>
          </w:tcPr>
          <w:p w14:paraId="76D183BD"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14:paraId="5EB7DF85"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14:paraId="4F06E6E1"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14:paraId="56D41F5A"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14:paraId="22C3A2D4" w14:textId="77777777"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14:paraId="464A5E68"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14:paraId="2E1488E2" w14:textId="77777777"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14:paraId="64D41C6B"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14:paraId="3853184D" w14:textId="77777777"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14:paraId="66D81D3C" w14:textId="77777777"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構設計應符合「建築物耐風設計規範及解說」之規定，惟依據「國有公用不動產設置太陽光電發電設備租賃契約書」訂定基本設計風速在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14:paraId="44697B02" w14:textId="77777777" w:rsidTr="00373E63">
        <w:trPr>
          <w:trHeight w:val="454"/>
        </w:trPr>
        <w:tc>
          <w:tcPr>
            <w:tcW w:w="357" w:type="pct"/>
            <w:vMerge/>
          </w:tcPr>
          <w:p w14:paraId="2174CF1C"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193A3A85"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69E3AF85"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5ED16BCA"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2321027F"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結構設計是否依建築物耐風設計規範進行設計與檢核，其中用途係數（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14:paraId="5E161FB3" w14:textId="77777777" w:rsidTr="00373E63">
        <w:trPr>
          <w:trHeight w:val="454"/>
        </w:trPr>
        <w:tc>
          <w:tcPr>
            <w:tcW w:w="357" w:type="pct"/>
            <w:vMerge/>
          </w:tcPr>
          <w:p w14:paraId="1DA0D066"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3D679646"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49FCBE44"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001C1172"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4FD5F49E"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14:paraId="34066774" w14:textId="77777777" w:rsidTr="00373E63">
        <w:trPr>
          <w:trHeight w:val="454"/>
        </w:trPr>
        <w:tc>
          <w:tcPr>
            <w:tcW w:w="357" w:type="pct"/>
            <w:vMerge/>
          </w:tcPr>
          <w:p w14:paraId="11CAF723"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3277BCC7" w14:textId="77777777" w:rsidR="00373E63" w:rsidRPr="00EF6059" w:rsidRDefault="00373E63" w:rsidP="00373E63">
            <w:pPr>
              <w:contextualSpacing/>
              <w:jc w:val="center"/>
              <w:rPr>
                <w:rFonts w:eastAsia="標楷體"/>
                <w:color w:val="000000" w:themeColor="text1"/>
                <w:kern w:val="0"/>
              </w:rPr>
            </w:pPr>
          </w:p>
        </w:tc>
        <w:tc>
          <w:tcPr>
            <w:tcW w:w="365" w:type="pct"/>
            <w:vAlign w:val="center"/>
          </w:tcPr>
          <w:p w14:paraId="3691E793"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166DBE9B"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0B360FBC"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螺絲組（包含螺絲、螺帽、平華司與彈簧華司等）是否為同一材質，可為熱浸鍍鋅或電鍍鋅材質或不銹鋼材質等抗腐蝕材質，並取得抗腐蝕品質測試報告</w:t>
            </w:r>
          </w:p>
        </w:tc>
      </w:tr>
      <w:tr w:rsidR="00373E63" w:rsidRPr="00EF6059" w14:paraId="623B786A" w14:textId="77777777" w:rsidTr="00373E63">
        <w:trPr>
          <w:trHeight w:val="454"/>
        </w:trPr>
        <w:tc>
          <w:tcPr>
            <w:tcW w:w="357" w:type="pct"/>
            <w:vMerge/>
          </w:tcPr>
          <w:p w14:paraId="74BBA3E8"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5D8BE228" w14:textId="77777777"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14:paraId="5A700181"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15F69E10"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311A8A61"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片彈簧華司、至少</w:t>
            </w:r>
            <w:r w:rsidRPr="00EF6059">
              <w:rPr>
                <w:rFonts w:eastAsia="標楷體"/>
                <w:color w:val="000000" w:themeColor="text1"/>
                <w:kern w:val="0"/>
              </w:rPr>
              <w:t xml:space="preserve"> 2 </w:t>
            </w:r>
            <w:r w:rsidRPr="00EF6059">
              <w:rPr>
                <w:rFonts w:eastAsia="標楷體"/>
                <w:color w:val="000000" w:themeColor="text1"/>
                <w:kern w:val="0"/>
              </w:rPr>
              <w:t>片平板華司、至少</w:t>
            </w:r>
            <w:r w:rsidRPr="00EF6059">
              <w:rPr>
                <w:rFonts w:eastAsia="標楷體"/>
                <w:color w:val="000000" w:themeColor="text1"/>
                <w:kern w:val="0"/>
              </w:rPr>
              <w:t xml:space="preserve"> 1 </w:t>
            </w:r>
            <w:r w:rsidRPr="00EF6059">
              <w:rPr>
                <w:rFonts w:eastAsia="標楷體"/>
                <w:color w:val="000000" w:themeColor="text1"/>
                <w:kern w:val="0"/>
              </w:rPr>
              <w:t>個抗腐蝕六角螺帽以及於六角螺帽上再套上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個抗腐蝕六角蓋型螺帽</w:t>
            </w:r>
          </w:p>
        </w:tc>
      </w:tr>
      <w:tr w:rsidR="00373E63" w:rsidRPr="00EF6059" w14:paraId="76A90C0F" w14:textId="77777777" w:rsidTr="00373E63">
        <w:trPr>
          <w:trHeight w:val="454"/>
        </w:trPr>
        <w:tc>
          <w:tcPr>
            <w:tcW w:w="357" w:type="pct"/>
            <w:vMerge w:val="restart"/>
            <w:vAlign w:val="center"/>
          </w:tcPr>
          <w:p w14:paraId="1E8757CC"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支撐架金屬基材耐腐蝕性能</w:t>
            </w:r>
          </w:p>
        </w:tc>
        <w:tc>
          <w:tcPr>
            <w:tcW w:w="598" w:type="pct"/>
            <w:vMerge w:val="restart"/>
            <w:vAlign w:val="center"/>
          </w:tcPr>
          <w:p w14:paraId="493FE60E" w14:textId="77777777"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支撐架金屬基材耐腐蝕性能</w:t>
            </w:r>
          </w:p>
        </w:tc>
        <w:tc>
          <w:tcPr>
            <w:tcW w:w="365" w:type="pct"/>
            <w:vAlign w:val="center"/>
          </w:tcPr>
          <w:p w14:paraId="336982B9"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71C8D2AA"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4046AD55"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14:paraId="72746D2B" w14:textId="77777777"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若採用鋼構基材，應為一般結構用鋼材（如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等）或冷軋鋼構材外加表面防蝕處理，或耐候鋼材（如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14:paraId="778CFBE9" w14:textId="77777777"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14:paraId="4303602D" w14:textId="77777777" w:rsidTr="00373E63">
        <w:trPr>
          <w:trHeight w:val="454"/>
        </w:trPr>
        <w:tc>
          <w:tcPr>
            <w:tcW w:w="357" w:type="pct"/>
            <w:vMerge/>
          </w:tcPr>
          <w:p w14:paraId="4E408360" w14:textId="77777777"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14:paraId="1BFCD152"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14:paraId="4CF6E94A" w14:textId="77777777"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14:paraId="3760A60F" w14:textId="77777777"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14:paraId="11CF4FB0" w14:textId="77777777"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14:paraId="5930DC4B" w14:textId="77777777"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u w:val="single"/>
              </w:rPr>
              <w:t>鋼構</w:t>
            </w:r>
            <w:r w:rsidRPr="00EF6059">
              <w:rPr>
                <w:rFonts w:eastAsia="標楷體"/>
                <w:color w:val="000000" w:themeColor="text1"/>
                <w:kern w:val="0"/>
              </w:rPr>
              <w:t>基材表面處理，須以設置地點符合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年（含）以上抗腐蝕性能進行表面處理，並由專業機構提出施作說明與品質保證證明</w:t>
            </w:r>
          </w:p>
          <w:p w14:paraId="427FFC6B" w14:textId="77777777"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基材表面處理，其表面處理方式採陽極處理厚度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以上之壓克力透明漆之表面防蝕處理，除鋁擠型構材外的鋁合金板、小配件等之表面處理方式可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以上及外加一層膜厚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14:paraId="738D66E0" w14:textId="77777777"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14:paraId="12B098FD" w14:textId="77777777"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14:paraId="1BE9CDE5" w14:textId="77777777"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14:paraId="738C9591" w14:textId="77777777"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3489620F" wp14:editId="158399E4">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C2BC223"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mc:Fallback>
        </mc:AlternateContent>
      </w:r>
      <w:r w:rsidRPr="00EF6059">
        <w:rPr>
          <w:rFonts w:eastAsia="標楷體"/>
          <w:noProof/>
          <w:color w:val="000000" w:themeColor="text1"/>
          <w:kern w:val="0"/>
        </w:rPr>
        <w:drawing>
          <wp:inline distT="0" distB="0" distL="0" distR="0" wp14:anchorId="74B37B65" wp14:editId="2491BB0B">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14:paraId="7352D189" w14:textId="77777777"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14:paraId="4B3D6A55"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14:paraId="0E251892"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05C15776" wp14:editId="654501C3">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14:paraId="7402C021" w14:textId="77777777" w:rsidR="00B609C2" w:rsidRPr="00C1358C" w:rsidRDefault="00B609C2"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5C15776"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">
                  <v:imagedata r:id="rId13" o:title=""/>
                  <v:path arrowok="t"/>
                </v:shape>
                <v:line id="直線接點 31" o:spid="_x0000_s1036" style="position:absolute;flip:x;visibility:visible;mso-wrap-style:square" from="11201,1981" to="15697,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" strokecolor="#4579b8 [3044]" strokeweight="2.75pt"/>
                <v:line id="直線接點 32" o:spid="_x0000_s1037" style="position:absolute;visibility:visible;mso-wrap-style:square" from="15240,1981" to="21031,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" strokecolor="#4579b8 [3044]" strokeweight="2.25pt"/>
                <v:shape id="_x0000_s1038" type="#_x0000_t202" style="position:absolute;left:23622;width:9601;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" stroked="f">
                  <v:textbox style="mso-fit-shape-to-text:t">
                    <w:txbxContent>
                      <w:p w14:paraId="7402C021" w14:textId="77777777" w:rsidR="00B609C2" w:rsidRPr="00C1358C" w:rsidRDefault="00B609C2"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QzwwAAANsAAAAPAAAAZHJzL2Rvd25yZXYueG1sRI9Ba8JA&#10;FITvgv9heUJvutES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I60EM8MAAADbAAAADwAA&#10;AAAAAAAAAAAAAAAHAgAAZHJzL2Rvd25yZXYueG1sUEsFBgAAAAADAAMAtwAAAPcCA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14:paraId="402C5CC6"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00EFF991"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1145D6CB"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3F4DD62E" w14:textId="77777777" w:rsidR="00373E63" w:rsidRPr="00EF6059" w:rsidRDefault="00373E63" w:rsidP="00373E63">
      <w:pPr>
        <w:widowControl/>
        <w:overflowPunct w:val="0"/>
        <w:spacing w:line="500" w:lineRule="exact"/>
        <w:ind w:left="2250"/>
        <w:jc w:val="center"/>
        <w:rPr>
          <w:rFonts w:eastAsia="標楷體"/>
          <w:color w:val="000000" w:themeColor="text1"/>
          <w:kern w:val="0"/>
        </w:rPr>
      </w:pPr>
    </w:p>
    <w:p w14:paraId="281E7D0A" w14:textId="77777777"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圖五、主結構柱高起算點</w:t>
      </w:r>
    </w:p>
    <w:p w14:paraId="34AFAE04" w14:textId="77777777"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14:paraId="52B3B0EF"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14:paraId="5297A6BA" w14:textId="77777777"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14:paraId="1EE4089C"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14:paraId="2D2B16C0" w14:textId="77777777"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鍍鋅鋼板(或熱浸鍍鋅鋼板等)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bookmarkEnd w:id="8"/>
    <w:p w14:paraId="69148190" w14:textId="77777777"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每個球場之支柱需包覆由地面起算高度達2公尺防護墊（材質:EVA、厚度:30mm）。</w:t>
      </w:r>
    </w:p>
    <w:p w14:paraId="52BB6BE5"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t>太陽能模組</w:t>
      </w:r>
    </w:p>
    <w:p w14:paraId="7B271052" w14:textId="77777777"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14:paraId="24AA1BB7"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14:paraId="2CF6141F"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14:paraId="776EBE87"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6E903601"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14:paraId="2D74B309"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14:paraId="71051EAF"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14:paraId="6C77052D" w14:textId="77777777"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bookmarkEnd w:id="12"/>
    <w:p w14:paraId="2D0E74E1" w14:textId="77777777"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14:paraId="1EA69403" w14:textId="77777777"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lastRenderedPageBreak/>
        <w:t>結構設計應符合「建築物耐風設計規範及解說」之規定，惟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14:paraId="7788FA5F"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14:paraId="5CFA130F"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14:paraId="00BA0CBB"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14:paraId="7C871315"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64F412D3"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14:paraId="02831A53" w14:textId="77777777"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若採用鋁合金鋁擠型基材，其鋁合金材質應為6005T5或6061T5以上等級，並須符合結構安全要求。其表面處理方式採陽極處理厚度14µm以上及外加一層膜厚7µm 以上之壓克力透明漆之表面防蝕處理，除鋁擠型構材外的鋁合金板、小配件等之表面處理方式可為陽極處理厚度7µm以上及外加一層膜厚7µm以上之壓克力透明漆，且皆需取得具有TAF認可之測試實驗室測試合格報告。</w:t>
      </w:r>
    </w:p>
    <w:p w14:paraId="7A958451" w14:textId="77777777"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14:paraId="55021109" w14:textId="77777777"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r w:rsidRPr="00EF6059">
        <w:rPr>
          <w:rFonts w:ascii="標楷體" w:eastAsia="標楷體" w:hAnsi="標楷體"/>
          <w:color w:val="000000" w:themeColor="text1"/>
          <w:kern w:val="0"/>
          <w:sz w:val="28"/>
          <w:szCs w:val="28"/>
        </w:rPr>
        <w:t>球場</w:t>
      </w:r>
      <w:bookmarkEnd w:id="17"/>
      <w:bookmarkEnd w:id="18"/>
      <w:bookmarkEnd w:id="19"/>
    </w:p>
    <w:p w14:paraId="4B546F8B"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14:paraId="01480935" w14:textId="77777777"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請根據教育部體育署103年度學校運動設施參考手冊，總則第四項風雨球場規劃時僅作籃球教學和休閒運動使用，屋頂挑高須達7公尺。</w:t>
      </w:r>
    </w:p>
    <w:p w14:paraId="4395E456"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14:paraId="686585EA" w14:textId="77777777"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23618303" wp14:editId="6EEBD684">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14:paraId="7688097A" w14:textId="77777777" w:rsidR="00B609C2" w:rsidRPr="00C1358C" w:rsidRDefault="00B609C2"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5BE07A90" w14:textId="77777777" w:rsidR="00B609C2" w:rsidRPr="00C1358C" w:rsidRDefault="00B609C2"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4DCAE038" w14:textId="77777777" w:rsidR="00B609C2" w:rsidRPr="009B54CF" w:rsidRDefault="00B609C2"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23618303"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">
                  <v:imagedata r:id="rId15" o:title=""/>
                  <v:path arrowok="t"/>
                </v:shape>
                <v:line id="直線接點 26" o:spid="_x0000_s1042" style="position:absolute;flip:x;visibility:visible;mso-wrap-style:square" from="11658,1143" to="16459,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" strokecolor="#548dd4 [1951]" strokeweight="3pt"/>
                <v:line id="直線接點 27" o:spid="_x0000_s1043" style="position:absolute;visibility:visible;mso-wrap-style:square" from="16230,1219" to="22555,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" strokecolor="#548dd4 [1951]" strokeweight="3pt"/>
                <v:shape id="_x0000_s1044" type="#_x0000_t202" style="position:absolute;left:22555;width:5867;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14:paraId="7688097A" w14:textId="77777777" w:rsidR="00B609C2" w:rsidRPr="00C1358C" w:rsidRDefault="00B609C2"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5BE07A90" w14:textId="77777777" w:rsidR="00B609C2" w:rsidRPr="00C1358C" w:rsidRDefault="00B609C2"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14:paraId="4DCAE038" w14:textId="77777777" w:rsidR="00B609C2" w:rsidRPr="009B54CF" w:rsidRDefault="00B609C2"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之主結構柱高起算點為屋頂下緣起算7公尺。</w:t>
      </w:r>
    </w:p>
    <w:p w14:paraId="19CF6309" w14:textId="77777777" w:rsidR="00373E63" w:rsidRPr="00EF6059" w:rsidRDefault="00373E63" w:rsidP="00373E63">
      <w:pPr>
        <w:widowControl/>
        <w:overflowPunct w:val="0"/>
        <w:spacing w:line="500" w:lineRule="exact"/>
        <w:ind w:left="2250"/>
        <w:jc w:val="both"/>
        <w:rPr>
          <w:rFonts w:eastAsia="標楷體"/>
          <w:noProof/>
          <w:color w:val="000000" w:themeColor="text1"/>
          <w:kern w:val="0"/>
        </w:rPr>
      </w:pPr>
    </w:p>
    <w:p w14:paraId="441721DE"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467B1412" w14:textId="77777777" w:rsidR="00373E63" w:rsidRPr="00EF6059" w:rsidRDefault="00373E63" w:rsidP="00373E63">
      <w:pPr>
        <w:widowControl/>
        <w:overflowPunct w:val="0"/>
        <w:spacing w:line="500" w:lineRule="exact"/>
        <w:ind w:left="2250"/>
        <w:jc w:val="both"/>
        <w:rPr>
          <w:rFonts w:eastAsia="標楷體"/>
          <w:color w:val="000000" w:themeColor="text1"/>
          <w:kern w:val="0"/>
        </w:rPr>
      </w:pPr>
    </w:p>
    <w:p w14:paraId="7ABDC8E2" w14:textId="77777777" w:rsidR="00373E63" w:rsidRPr="00EF6059" w:rsidRDefault="00373E63" w:rsidP="00373E63">
      <w:pPr>
        <w:widowControl/>
        <w:overflowPunct w:val="0"/>
        <w:spacing w:line="500" w:lineRule="exact"/>
        <w:ind w:left="2250" w:right="960"/>
        <w:jc w:val="right"/>
        <w:rPr>
          <w:rFonts w:eastAsia="標楷體"/>
          <w:color w:val="000000" w:themeColor="text1"/>
          <w:kern w:val="0"/>
        </w:rPr>
      </w:pPr>
    </w:p>
    <w:p w14:paraId="5DD077D7" w14:textId="77777777"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圖五、主結構柱高起算點</w:t>
      </w:r>
    </w:p>
    <w:p w14:paraId="2192691F" w14:textId="77777777"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14:paraId="08D780F7" w14:textId="77777777"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14:paraId="4E7B27C5"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14:paraId="65B19891" w14:textId="77777777"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鍍鋅鋼板(或熱浸鍍鋅鋼板等)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14:paraId="6936D102" w14:textId="77777777"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每個球場之支柱需包覆由地面起算高度達2公尺防護墊（材質:EVA、厚度:30mm）。</w:t>
      </w:r>
    </w:p>
    <w:p w14:paraId="76FD2DDD"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14:paraId="69D565F4" w14:textId="77777777"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14:paraId="3AB5266B"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14:paraId="528FBC79"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14:paraId="6F3E537B"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14:paraId="45159A9B"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太陽光電模組鋁框與鋼構基材接觸位置加裝鐵氟龍絕緣墊片以隔開二者，避免產生電位差腐蝕。</w:t>
      </w:r>
    </w:p>
    <w:p w14:paraId="68D90F23"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螺絲組與太陽光電模組鋁框接觸處之平板華司下方應再加裝鐵氟龍絕緣墊片以隔開螺絲組及模組鋁框。</w:t>
      </w:r>
    </w:p>
    <w:p w14:paraId="6A26A1F5"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連結扣件共計需6組以上。</w:t>
      </w:r>
    </w:p>
    <w:p w14:paraId="67201196" w14:textId="77777777"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為避免場地濕滑，整體設計應達到防漏水。惟雨天是否可教學、提供民眾使用需視當天狀況而定。。</w:t>
      </w:r>
    </w:p>
    <w:p w14:paraId="544FA2AC" w14:textId="77777777"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14:paraId="0E209201" w14:textId="77777777"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14:paraId="128DEAF6"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結構設計是否依「建築物耐風設計規範及解說」進行設計與檢核，其中用途係數(I)，採I=1.1（含）以上、陣風反應因子(G)，採G=1.88（含）以上，為設計與計算基礎。</w:t>
      </w:r>
    </w:p>
    <w:p w14:paraId="697B947D"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結構設計應符合「建築物耐震設計規範及解說」之規定，其中用途係數(I)，採I=1.25（含）以上作為設計與計算基礎。</w:t>
      </w:r>
    </w:p>
    <w:p w14:paraId="44FC774C"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及扣件材質應為同一材質且必須具抗腐蝕能力。每一構件連結螺絲組：包含抗腐蝕螺絲、至少1片彈簧華司、至少2片平板華司、至少1個抗腐蝕六角螺帽以及於六角螺帽上再套上1個抗腐蝕六角蓋型螺帽。</w:t>
      </w:r>
    </w:p>
    <w:p w14:paraId="24796A10"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14:paraId="60E6BE47"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若採用鋼構基材，應為一般結構用鋼材或冷軋鋼構材外加表面防蝕處理，或耐候鋼材。鋼構基表面處理，須以設置地點符合ISO 9223之腐蝕環境分類等級，且至少以中度腐蝕(ISO  9223-C3)等級以上為處理基準，並以20年（含）以上抗腐蝕性能進行表面處理，並由專業機構提出施作說明與品質保證證明。</w:t>
      </w:r>
    </w:p>
    <w:p w14:paraId="0F1E9B2A" w14:textId="77777777"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若採用鋁合金鋁擠型基材，其鋁合金材質應為6005T5或6061T5以上等級，並須符合結構安全要求。其表面處理方式採陽極處理厚度14µm以上及外加一層膜厚7µm 以上之壓克力透明漆之表面防蝕處理，除鋁擠型構材外的鋁合金板、小配件等之表面處理方式可為陽極處理厚度7µm以上及外加一層膜厚7µm以上之壓克力透明漆，且皆需取得具有TAF認可之測試實驗室測試合格報告。</w:t>
      </w:r>
    </w:p>
    <w:p w14:paraId="243346EB" w14:textId="77777777"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14:paraId="5E3462BC" w14:textId="77777777"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
    <w:p w14:paraId="1ABCBD6F" w14:textId="77777777"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hint="eastAsia"/>
          <w:color w:val="000000" w:themeColor="text1"/>
          <w:sz w:val="28"/>
          <w:szCs w:val="28"/>
        </w:rPr>
        <w:t>球場面層設計</w:t>
      </w:r>
      <w:r w:rsidRPr="0012081D">
        <w:rPr>
          <w:rFonts w:ascii="標楷體" w:eastAsia="標楷體" w:hAnsi="標楷體"/>
          <w:color w:val="000000" w:themeColor="text1"/>
          <w:sz w:val="28"/>
          <w:szCs w:val="28"/>
        </w:rPr>
        <w:t xml:space="preserve"> </w:t>
      </w:r>
    </w:p>
    <w:p w14:paraId="55BC1DD2" w14:textId="77777777"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面層設計原則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考量風雨球場非能完全阻擋雨水進入，故球場基礎面層建議塗佈潮濕時仍具止滑度之壓克力面材，面層設計如表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14:paraId="2CD0DA9B" w14:textId="77777777"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r w:rsidRPr="0012081D">
        <w:rPr>
          <w:rFonts w:hAnsi="標楷體" w:cs="新細明體" w:hint="eastAsia"/>
          <w:color w:val="000000" w:themeColor="text1"/>
          <w:sz w:val="28"/>
          <w:szCs w:val="28"/>
          <w:lang w:bidi="ar-SA"/>
        </w:rPr>
        <w:t>面層施工原則</w:t>
      </w:r>
      <w:r w:rsidR="0012081D" w:rsidRPr="0012081D">
        <w:rPr>
          <w:rFonts w:hAnsi="標楷體" w:cs="新細明體" w:hint="eastAsia"/>
          <w:color w:val="000000" w:themeColor="text1"/>
          <w:sz w:val="28"/>
          <w:szCs w:val="28"/>
          <w:lang w:bidi="ar-SA"/>
        </w:rPr>
        <w:t>：</w:t>
      </w:r>
    </w:p>
    <w:p w14:paraId="635F3390"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14:paraId="564A118C"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14:paraId="729019D3"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14:paraId="1D3B980F" w14:textId="77777777"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14:paraId="12453A37" w14:textId="77777777"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E </w:t>
      </w:r>
      <w:r w:rsidRPr="0012081D">
        <w:rPr>
          <w:rFonts w:hAnsi="標楷體" w:cs="新細明體" w:hint="eastAsia"/>
          <w:color w:val="000000" w:themeColor="text1"/>
          <w:sz w:val="28"/>
          <w:szCs w:val="28"/>
          <w:lang w:bidi="ar-SA"/>
        </w:rPr>
        <w:t>球場規線與規劃，請根據教育部體育署運動設施規範及分級分類參考手冊、教育部體育署</w:t>
      </w:r>
      <w:r w:rsidRPr="0012081D">
        <w:rPr>
          <w:rFonts w:hAnsi="標楷體" w:cs="新細明體"/>
          <w:color w:val="000000" w:themeColor="text1"/>
          <w:sz w:val="28"/>
          <w:szCs w:val="28"/>
          <w:lang w:bidi="ar-SA"/>
        </w:rPr>
        <w:t>103</w:t>
      </w:r>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14:paraId="04D6FD64" w14:textId="77777777"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-1、面層設計原則表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14:paraId="1E7E0F55" w14:textId="77777777"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14:paraId="46C39BA7" w14:textId="77777777" w:rsidR="0012081D" w:rsidRPr="002A0E35" w:rsidRDefault="0012081D" w:rsidP="0012081D">
            <w:pPr>
              <w:widowControl/>
              <w:autoSpaceDE w:val="0"/>
              <w:autoSpaceDN w:val="0"/>
              <w:spacing w:before="63"/>
              <w:ind w:left="24"/>
              <w:rPr>
                <w:rFonts w:ascii="Cambria" w:hAnsi="Cambria"/>
                <w:kern w:val="0"/>
                <w:lang w:eastAsia="en-US"/>
              </w:rPr>
            </w:pPr>
            <w:r w:rsidRPr="002A0E35">
              <w:rPr>
                <w:rFonts w:ascii="SimSun" w:eastAsia="SimSun" w:hAnsi="SimSun" w:cs="SimSun"/>
                <w:color w:val="000000"/>
                <w:spacing w:val="-6"/>
                <w:kern w:val="0"/>
                <w:lang w:eastAsia="en-US"/>
              </w:rPr>
              <w:t>材質</w:t>
            </w:r>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14:paraId="59372398" w14:textId="77777777"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規格</w:t>
            </w:r>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14:paraId="335D5476" w14:textId="77777777" w:rsidR="0012081D" w:rsidRPr="002A0E35" w:rsidRDefault="0012081D" w:rsidP="0012081D">
            <w:pPr>
              <w:widowControl/>
              <w:autoSpaceDE w:val="0"/>
              <w:autoSpaceDN w:val="0"/>
              <w:spacing w:before="63"/>
              <w:ind w:left="19"/>
              <w:rPr>
                <w:rFonts w:ascii="Cambria" w:hAnsi="Cambria"/>
                <w:kern w:val="0"/>
                <w:lang w:eastAsia="en-US"/>
              </w:rPr>
            </w:pPr>
            <w:r w:rsidRPr="002A0E35">
              <w:rPr>
                <w:rFonts w:ascii="SimSun" w:eastAsia="SimSun" w:hAnsi="SimSun" w:cs="SimSun"/>
                <w:color w:val="000000"/>
                <w:spacing w:val="-6"/>
                <w:kern w:val="0"/>
                <w:lang w:eastAsia="en-US"/>
              </w:rPr>
              <w:t>說明</w:t>
            </w:r>
          </w:p>
        </w:tc>
      </w:tr>
      <w:tr w:rsidR="0012081D" w:rsidRPr="002A0E35" w14:paraId="0D76F376" w14:textId="77777777"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14:paraId="651EE8E6"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最底層：石土壓實</w:t>
            </w:r>
            <w:r w:rsidRPr="002A0E35">
              <w:rPr>
                <w:rFonts w:eastAsia="Times New Roman"/>
                <w:color w:val="000000"/>
                <w:kern w:val="0"/>
              </w:rPr>
              <w:t>(</w:t>
            </w:r>
            <w:r w:rsidRPr="002A0E35">
              <w:rPr>
                <w:rFonts w:ascii="SimSun" w:eastAsia="SimSun" w:hAnsi="SimSun" w:cs="SimSun"/>
                <w:color w:val="000000"/>
                <w:spacing w:val="-1"/>
                <w:kern w:val="0"/>
              </w:rPr>
              <w:t>夯實度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6DD9A228" w14:textId="77777777"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14:paraId="512EDA3B" w14:textId="77777777" w:rsidR="0012081D" w:rsidRPr="002A0E35" w:rsidRDefault="0012081D" w:rsidP="0012081D">
            <w:pPr>
              <w:widowControl/>
              <w:rPr>
                <w:rFonts w:ascii="Cambria" w:hAnsi="Cambria"/>
                <w:kern w:val="0"/>
              </w:rPr>
            </w:pPr>
          </w:p>
        </w:tc>
      </w:tr>
      <w:tr w:rsidR="0012081D" w:rsidRPr="002A0E35" w14:paraId="530D539D" w14:textId="77777777"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14:paraId="2766AA2B" w14:textId="77777777" w:rsidR="0012081D" w:rsidRPr="002A0E35" w:rsidRDefault="0012081D" w:rsidP="0012081D">
            <w:pPr>
              <w:widowControl/>
              <w:spacing w:line="252" w:lineRule="exact"/>
              <w:rPr>
                <w:rFonts w:ascii="Cambria" w:hAnsi="Cambria"/>
                <w:kern w:val="0"/>
              </w:rPr>
            </w:pPr>
          </w:p>
          <w:p w14:paraId="289B0538" w14:textId="77777777"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5E2407C3" w14:textId="77777777"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基礎結構採</w:t>
            </w:r>
          </w:p>
          <w:p w14:paraId="274ABC8D" w14:textId="77777777" w:rsidR="0012081D" w:rsidRPr="002A0E35" w:rsidRDefault="0012081D" w:rsidP="0012081D">
            <w:pPr>
              <w:widowControl/>
              <w:spacing w:line="101" w:lineRule="exact"/>
              <w:rPr>
                <w:rFonts w:ascii="Cambria" w:hAnsi="Cambria"/>
                <w:kern w:val="0"/>
              </w:rPr>
            </w:pPr>
          </w:p>
          <w:p w14:paraId="79303899" w14:textId="77777777"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r w:rsidRPr="002A0E35">
              <w:rPr>
                <w:rFonts w:ascii="SimSun" w:eastAsia="SimSun" w:hAnsi="SimSun" w:cs="SimSun"/>
                <w:color w:val="000000"/>
                <w:spacing w:val="-1"/>
                <w:kern w:val="0"/>
                <w:lang w:eastAsia="en-US"/>
              </w:rPr>
              <w:t>公分以上厚度之級配</w:t>
            </w:r>
          </w:p>
        </w:tc>
        <w:tc>
          <w:tcPr>
            <w:tcW w:w="2693" w:type="dxa"/>
            <w:tcBorders>
              <w:top w:val="single" w:sz="3" w:space="0" w:color="000000"/>
              <w:left w:val="single" w:sz="3" w:space="0" w:color="000000"/>
              <w:bottom w:val="single" w:sz="3" w:space="0" w:color="000000"/>
              <w:right w:val="single" w:sz="3" w:space="0" w:color="000000"/>
            </w:tcBorders>
          </w:tcPr>
          <w:p w14:paraId="49F83B72" w14:textId="77777777" w:rsidR="0012081D" w:rsidRPr="002A0E35" w:rsidRDefault="0012081D" w:rsidP="0012081D">
            <w:pPr>
              <w:widowControl/>
              <w:rPr>
                <w:rFonts w:ascii="Cambria" w:hAnsi="Cambria"/>
                <w:kern w:val="0"/>
                <w:lang w:eastAsia="en-US"/>
              </w:rPr>
            </w:pPr>
          </w:p>
        </w:tc>
      </w:tr>
      <w:tr w:rsidR="0012081D" w:rsidRPr="002A0E35" w14:paraId="22F876AA" w14:textId="77777777"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14:paraId="414D87A6"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5659CE6F" w14:textId="77777777"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r w:rsidRPr="002A0E35">
              <w:rPr>
                <w:rFonts w:ascii="SimSun" w:eastAsia="SimSun" w:hAnsi="SimSun" w:cs="SimSun"/>
                <w:color w:val="000000"/>
                <w:spacing w:val="-1"/>
                <w:kern w:val="0"/>
              </w:rPr>
              <w:t>厚粗級配瀝青混凝土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14:paraId="4E515E14" w14:textId="77777777" w:rsidR="0012081D" w:rsidRPr="002A0E35" w:rsidRDefault="0012081D" w:rsidP="0012081D">
            <w:pPr>
              <w:widowControl/>
              <w:spacing w:line="101" w:lineRule="exact"/>
              <w:rPr>
                <w:rFonts w:ascii="Cambria" w:hAnsi="Cambria"/>
                <w:kern w:val="0"/>
              </w:rPr>
            </w:pPr>
          </w:p>
          <w:p w14:paraId="2292F25E" w14:textId="77777777"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14:paraId="7A68D676" w14:textId="77777777" w:rsidR="0012081D" w:rsidRPr="002A0E35" w:rsidRDefault="0012081D" w:rsidP="0012081D">
            <w:pPr>
              <w:widowControl/>
              <w:rPr>
                <w:rFonts w:ascii="Cambria" w:hAnsi="Cambria"/>
                <w:kern w:val="0"/>
                <w:lang w:eastAsia="en-US"/>
              </w:rPr>
            </w:pPr>
          </w:p>
        </w:tc>
      </w:tr>
      <w:tr w:rsidR="0012081D" w:rsidRPr="002A0E35" w14:paraId="43D4A5AE" w14:textId="77777777"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14:paraId="30ED0CBC" w14:textId="77777777"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14:paraId="110E4BE3" w14:textId="77777777"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r w:rsidRPr="002A0E35">
              <w:rPr>
                <w:rFonts w:ascii="SimSun" w:eastAsia="SimSun" w:hAnsi="SimSun" w:cs="SimSun"/>
                <w:color w:val="000000"/>
                <w:spacing w:val="-1"/>
                <w:kern w:val="0"/>
              </w:rPr>
              <w:t>厚密級配瀝青混凝土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14:paraId="6C81F0CB" w14:textId="77777777" w:rsidR="0012081D" w:rsidRPr="002A0E35" w:rsidRDefault="0012081D" w:rsidP="0012081D">
            <w:pPr>
              <w:widowControl/>
              <w:spacing w:line="102" w:lineRule="exact"/>
              <w:rPr>
                <w:rFonts w:ascii="Cambria" w:hAnsi="Cambria"/>
                <w:kern w:val="0"/>
              </w:rPr>
            </w:pPr>
          </w:p>
          <w:p w14:paraId="4FFF97D4" w14:textId="77777777" w:rsidR="0012081D" w:rsidRPr="002A0E35" w:rsidRDefault="0012081D" w:rsidP="0012081D">
            <w:pPr>
              <w:widowControl/>
              <w:autoSpaceDE w:val="0"/>
              <w:autoSpaceDN w:val="0"/>
              <w:ind w:left="19"/>
              <w:rPr>
                <w:rFonts w:ascii="Cambria" w:hAnsi="Cambria"/>
                <w:kern w:val="0"/>
                <w:lang w:eastAsia="en-US"/>
              </w:rPr>
            </w:pPr>
            <w:r w:rsidRPr="002A0E35">
              <w:rPr>
                <w:rFonts w:ascii="SimSun" w:eastAsia="SimSun" w:hAnsi="SimSun" w:cs="SimSun"/>
                <w:color w:val="000000"/>
                <w:spacing w:val="-1"/>
                <w:kern w:val="0"/>
                <w:lang w:eastAsia="en-US"/>
              </w:rPr>
              <w:t>前先噴灑瀝青黏層</w:t>
            </w:r>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14:paraId="1B707211" w14:textId="77777777"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落與隆起</w:t>
            </w:r>
          </w:p>
        </w:tc>
      </w:tr>
      <w:tr w:rsidR="0012081D" w:rsidRPr="002A0E35" w14:paraId="0F29CE92" w14:textId="77777777"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14:paraId="4FE4E432" w14:textId="77777777"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最表層：壓克力面材</w:t>
            </w:r>
            <w:r>
              <w:rPr>
                <w:rFonts w:asciiTheme="minorEastAsia" w:hAnsiTheme="minorEastAsia" w:hint="eastAsia"/>
                <w:color w:val="000000"/>
                <w:spacing w:val="-2"/>
                <w:kern w:val="0"/>
              </w:rPr>
              <w:t>，</w:t>
            </w:r>
            <w:r>
              <w:rPr>
                <w:rFonts w:eastAsia="Times New Roman"/>
                <w:color w:val="000000"/>
                <w:spacing w:val="-2"/>
                <w:kern w:val="0"/>
              </w:rPr>
              <w:t>並</w:t>
            </w:r>
          </w:p>
          <w:p w14:paraId="1B131FCB" w14:textId="77777777"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14:paraId="47B7691D" w14:textId="77777777"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道壓克力運動面層</w:t>
            </w:r>
            <w:r w:rsidRPr="003B1646">
              <w:rPr>
                <w:rFonts w:eastAsia="Times New Roman"/>
                <w:color w:val="000000"/>
                <w:spacing w:val="-1"/>
                <w:kern w:val="0"/>
              </w:rPr>
              <w:t>(</w:t>
            </w:r>
            <w:r w:rsidRPr="003B1646">
              <w:rPr>
                <w:rFonts w:ascii="新細明體" w:hAnsi="新細明體" w:cs="新細明體" w:hint="eastAsia"/>
                <w:color w:val="000000"/>
                <w:spacing w:val="-1"/>
                <w:kern w:val="0"/>
              </w:rPr>
              <w:t>含既有面層刨除、修補，施作複合彈性基材、壓克力基材、壓克力面材、畫線）</w:t>
            </w:r>
          </w:p>
        </w:tc>
        <w:tc>
          <w:tcPr>
            <w:tcW w:w="2693" w:type="dxa"/>
            <w:tcBorders>
              <w:top w:val="single" w:sz="3" w:space="0" w:color="000000"/>
              <w:left w:val="single" w:sz="3" w:space="0" w:color="000000"/>
              <w:bottom w:val="single" w:sz="3" w:space="0" w:color="000000"/>
              <w:right w:val="single" w:sz="3" w:space="0" w:color="000000"/>
            </w:tcBorders>
          </w:tcPr>
          <w:p w14:paraId="62486A7B" w14:textId="77777777"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潮濕時具止滑度，彩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層可適當摻入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14:paraId="51E6815E" w14:textId="77777777" w:rsidR="00373E63" w:rsidRDefault="00373E63" w:rsidP="00373E63">
      <w:pPr>
        <w:pStyle w:val="Default"/>
        <w:rPr>
          <w:sz w:val="28"/>
          <w:szCs w:val="28"/>
        </w:rPr>
      </w:pPr>
    </w:p>
    <w:p w14:paraId="12FDD42F" w14:textId="77777777" w:rsidR="00373E63" w:rsidRPr="002A0E35" w:rsidRDefault="00373E63" w:rsidP="00373E63">
      <w:pPr>
        <w:pStyle w:val="Default"/>
        <w:spacing w:after="190"/>
        <w:rPr>
          <w:sz w:val="28"/>
          <w:szCs w:val="28"/>
        </w:rPr>
      </w:pPr>
    </w:p>
    <w:p w14:paraId="2EC1CB2B" w14:textId="77777777" w:rsidR="00373E63" w:rsidRDefault="00373E63" w:rsidP="00373E63">
      <w:pPr>
        <w:pStyle w:val="Default"/>
        <w:rPr>
          <w:sz w:val="28"/>
          <w:szCs w:val="28"/>
        </w:rPr>
      </w:pPr>
    </w:p>
    <w:p w14:paraId="5B9BFE05" w14:textId="77777777" w:rsidR="00373E63" w:rsidRDefault="00373E63" w:rsidP="00373E63">
      <w:pPr>
        <w:widowControl/>
        <w:rPr>
          <w:rFonts w:ascii="標楷體" w:eastAsia="標楷體" w:cs="標楷體"/>
          <w:color w:val="000000"/>
          <w:kern w:val="0"/>
          <w:sz w:val="28"/>
          <w:szCs w:val="28"/>
        </w:rPr>
      </w:pPr>
      <w:r>
        <w:rPr>
          <w:sz w:val="28"/>
          <w:szCs w:val="28"/>
        </w:rPr>
        <w:br w:type="page"/>
      </w:r>
    </w:p>
    <w:p w14:paraId="0A6CF803" w14:textId="77777777" w:rsidR="00373E63" w:rsidRPr="002A0E35" w:rsidRDefault="00373E63" w:rsidP="00373E63">
      <w:pPr>
        <w:pStyle w:val="Default"/>
        <w:spacing w:after="190"/>
        <w:rPr>
          <w:sz w:val="28"/>
          <w:szCs w:val="28"/>
        </w:rPr>
      </w:pPr>
      <w:r w:rsidRPr="002A0E35">
        <w:rPr>
          <w:sz w:val="28"/>
          <w:szCs w:val="28"/>
        </w:rPr>
        <w:lastRenderedPageBreak/>
        <w:t>面層設計規劃示意圖</w:t>
      </w:r>
    </w:p>
    <w:p w14:paraId="117337AD" w14:textId="77777777" w:rsidR="00373E63" w:rsidRDefault="00373E63" w:rsidP="00373E63">
      <w:pPr>
        <w:pStyle w:val="Default"/>
        <w:spacing w:after="190"/>
      </w:pPr>
      <w:r>
        <w:rPr>
          <w:noProof/>
          <w:lang w:bidi="ar-SA"/>
        </w:rPr>
        <w:drawing>
          <wp:inline distT="0" distB="0" distL="0" distR="0" wp14:anchorId="68916A48" wp14:editId="2DA72E64">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38650" cy="3305175"/>
                    </a:xfrm>
                    <a:prstGeom prst="rect">
                      <a:avLst/>
                    </a:prstGeom>
                  </pic:spPr>
                </pic:pic>
              </a:graphicData>
            </a:graphic>
          </wp:inline>
        </w:drawing>
      </w:r>
    </w:p>
    <w:p w14:paraId="0C2B9E40" w14:textId="77777777" w:rsidR="00373E63" w:rsidRPr="002A0E35" w:rsidRDefault="00373E63" w:rsidP="00373E63">
      <w:pPr>
        <w:pStyle w:val="Default"/>
        <w:spacing w:after="190"/>
      </w:pPr>
      <w:r>
        <w:rPr>
          <w:noProof/>
          <w:lang w:bidi="ar-SA"/>
        </w:rPr>
        <w:drawing>
          <wp:inline distT="0" distB="0" distL="0" distR="0" wp14:anchorId="01AB6AD4" wp14:editId="282DF8D8">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14:paraId="0062ABC9" w14:textId="77777777" w:rsidR="00373E63" w:rsidRDefault="00373E63" w:rsidP="00373E63">
      <w:pPr>
        <w:widowControl/>
        <w:rPr>
          <w:rFonts w:eastAsia="標楷體"/>
          <w:color w:val="000000" w:themeColor="text1"/>
          <w:kern w:val="0"/>
        </w:rPr>
      </w:pPr>
      <w:r>
        <w:rPr>
          <w:rFonts w:eastAsia="標楷體"/>
          <w:color w:val="000000" w:themeColor="text1"/>
          <w:kern w:val="0"/>
        </w:rPr>
        <w:br w:type="page"/>
      </w:r>
    </w:p>
    <w:p w14:paraId="6464E9C7" w14:textId="77777777"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14:paraId="0E695422" w14:textId="77777777"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14:paraId="79CD603C" w14:textId="77777777"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教育部體育署103年度學校運動設施設計參考手冊（依據教育部體育署103年度學校運動設施參考手冊，總則第四項風雨球場規劃時若僅作籃球教學和休閒運動使用，屋頂挑高須達7公尺。）</w:t>
      </w:r>
    </w:p>
    <w:p w14:paraId="56F1CD5D" w14:textId="77777777"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14:paraId="15605476" w14:textId="77777777"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14:paraId="2B94E705" w14:textId="77777777"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14:paraId="0A6F6E7B" w14:textId="77777777"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14:paraId="6FEE18FB" w14:textId="77777777"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定著於土地上具有頂蓋、樑柱或牆壁，供個人或公眾使用之構造物,應依同法第28條規定申請建造執照;另按該部營建署96年11月6日營署建管字第0962918506號函附會議紀錄結論(一)略以「建築基地範圍內之空地設置之太陽光電發電設備者，因涉建築基地建蔽率、建築面積與整體法定空地之檢討，應依建築法之規定申請雜項執照。」旨揭風雨球場設置地面型太陽光電發電設備，如執照申請項目為「太陽光電發電設備」者，依上開規定係以申請雜項執照方式辦理。</w:t>
      </w:r>
    </w:p>
    <w:p w14:paraId="1C414D25"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14:paraId="103956F1"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14:paraId="02C90E82"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據彙訂為工作底稿。</w:t>
      </w:r>
    </w:p>
    <w:p w14:paraId="763E321E" w14:textId="77777777"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14:paraId="4B159F23" w14:textId="77777777"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14:paraId="1786E466" w14:textId="77777777"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14:paraId="2CF4D900"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14:paraId="48359477"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14:paraId="4A8D6D4D" w14:textId="77777777"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14:paraId="2EA6F52C" w14:textId="77777777"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14:paraId="5618566D" w14:textId="77777777"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 xml:space="preserve">建築物耐風設計規範及解說 </w:t>
      </w:r>
    </w:p>
    <w:p w14:paraId="7EB86B56" w14:textId="77777777"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14:paraId="03FAB6FC" w14:textId="77777777" w:rsidR="00373E63" w:rsidRDefault="00373E63" w:rsidP="00373E63">
      <w:pPr>
        <w:widowControl/>
        <w:rPr>
          <w:rFonts w:eastAsia="標楷體"/>
          <w:color w:val="000000" w:themeColor="text1"/>
          <w:kern w:val="0"/>
        </w:rPr>
      </w:pPr>
      <w:r>
        <w:rPr>
          <w:rFonts w:eastAsia="標楷體"/>
          <w:color w:val="000000" w:themeColor="text1"/>
          <w:kern w:val="0"/>
        </w:rPr>
        <w:br w:type="page"/>
      </w:r>
    </w:p>
    <w:p w14:paraId="444A9506" w14:textId="77777777"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56"/>
        <w:gridCol w:w="6663"/>
        <w:gridCol w:w="715"/>
        <w:gridCol w:w="590"/>
      </w:tblGrid>
      <w:tr w:rsidR="00373E63" w:rsidRPr="00EF6059" w14:paraId="77AC1844" w14:textId="77777777" w:rsidTr="00373E63">
        <w:trPr>
          <w:trHeight w:val="210"/>
        </w:trPr>
        <w:tc>
          <w:tcPr>
            <w:tcW w:w="256" w:type="pct"/>
            <w:vAlign w:val="center"/>
          </w:tcPr>
          <w:p w14:paraId="7C43D8D9"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14:paraId="51E2FC9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14:paraId="0C00D4C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14:paraId="16F04278"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14:paraId="1A32BD74"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14:paraId="279AC609"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14:paraId="3A0CD3C7" w14:textId="77777777" w:rsidTr="00373E63">
        <w:trPr>
          <w:trHeight w:val="302"/>
        </w:trPr>
        <w:tc>
          <w:tcPr>
            <w:tcW w:w="256" w:type="pct"/>
            <w:vMerge w:val="restart"/>
            <w:vAlign w:val="center"/>
          </w:tcPr>
          <w:p w14:paraId="202BD01B"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風雨球場結構</w:t>
            </w:r>
          </w:p>
        </w:tc>
        <w:tc>
          <w:tcPr>
            <w:tcW w:w="256" w:type="pct"/>
            <w:vAlign w:val="center"/>
          </w:tcPr>
          <w:p w14:paraId="4BDB68C2"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14:paraId="3B4EC93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設置之棚架式太陽光電發電系統住高起算點為屋頂下緣算起7公尺，且須完整覆蓋整個施作標的基地。屋頂斜率以6~8度範圍內為佳。</w:t>
            </w:r>
          </w:p>
        </w:tc>
        <w:tc>
          <w:tcPr>
            <w:tcW w:w="403" w:type="pct"/>
            <w:vAlign w:val="center"/>
          </w:tcPr>
          <w:p w14:paraId="588A550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4DEC54F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7E8471C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FECB5E2" w14:textId="77777777" w:rsidTr="00373E63">
        <w:trPr>
          <w:trHeight w:val="265"/>
        </w:trPr>
        <w:tc>
          <w:tcPr>
            <w:tcW w:w="256" w:type="pct"/>
            <w:vMerge/>
            <w:vAlign w:val="center"/>
          </w:tcPr>
          <w:p w14:paraId="19254B0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6BC9EF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14:paraId="4D2C406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r w:rsidRPr="00EF6059">
              <w:rPr>
                <w:rFonts w:ascii="標楷體" w:eastAsia="標楷體" w:hAnsi="標楷體"/>
                <w:color w:val="000000" w:themeColor="text1"/>
                <w:kern w:val="0"/>
              </w:rPr>
              <w:t>需包覆由地面起算高度達2公尺的防護墊(材質:EVA、厚度:3cm)，防止觸電</w:t>
            </w:r>
          </w:p>
        </w:tc>
        <w:tc>
          <w:tcPr>
            <w:tcW w:w="403" w:type="pct"/>
          </w:tcPr>
          <w:p w14:paraId="35AE955E"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5A4FF9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5EEA99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351A9437" w14:textId="77777777" w:rsidTr="00373E63">
        <w:trPr>
          <w:trHeight w:val="266"/>
        </w:trPr>
        <w:tc>
          <w:tcPr>
            <w:tcW w:w="256" w:type="pct"/>
            <w:vMerge/>
          </w:tcPr>
          <w:p w14:paraId="470A898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7A49CAA3"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14:paraId="7BEFD8EE"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鍍鋅鋼板(或熱浸鍍鋅鋼板等)</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14:paraId="3B621D4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E09AED1"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14845E19"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1725A499" w14:textId="77777777" w:rsidTr="00373E63">
        <w:trPr>
          <w:trHeight w:val="454"/>
        </w:trPr>
        <w:tc>
          <w:tcPr>
            <w:tcW w:w="256" w:type="pct"/>
            <w:vMerge/>
          </w:tcPr>
          <w:p w14:paraId="57B4BF1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C14EA7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14:paraId="5974C2A2"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14:paraId="6F5B990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280B0CD2"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AF79540"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7EBCFA2B" w14:textId="77777777" w:rsidTr="00373E63">
        <w:trPr>
          <w:trHeight w:val="454"/>
        </w:trPr>
        <w:tc>
          <w:tcPr>
            <w:tcW w:w="256" w:type="pct"/>
            <w:vMerge/>
          </w:tcPr>
          <w:p w14:paraId="1A284E1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174866E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14:paraId="4FA1702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14:paraId="7F57A09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FB9A63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702962B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C48FB62" w14:textId="77777777" w:rsidTr="00373E63">
        <w:trPr>
          <w:trHeight w:val="454"/>
        </w:trPr>
        <w:tc>
          <w:tcPr>
            <w:tcW w:w="256" w:type="pct"/>
            <w:vMerge w:val="restart"/>
          </w:tcPr>
          <w:p w14:paraId="32D62ED8" w14:textId="77777777" w:rsidR="00373E63" w:rsidRDefault="00373E63" w:rsidP="00373E63">
            <w:pPr>
              <w:widowControl/>
              <w:spacing w:line="360" w:lineRule="exact"/>
              <w:contextualSpacing/>
              <w:rPr>
                <w:rFonts w:ascii="標楷體" w:eastAsia="標楷體" w:hAnsi="標楷體"/>
                <w:color w:val="000000" w:themeColor="text1"/>
                <w:kern w:val="0"/>
              </w:rPr>
            </w:pPr>
          </w:p>
          <w:p w14:paraId="5DCFEB9C" w14:textId="77777777" w:rsidR="00373E63" w:rsidRDefault="00373E63" w:rsidP="00373E63">
            <w:pPr>
              <w:widowControl/>
              <w:spacing w:line="360" w:lineRule="exact"/>
              <w:contextualSpacing/>
              <w:rPr>
                <w:rFonts w:ascii="標楷體" w:eastAsia="標楷體" w:hAnsi="標楷體"/>
                <w:color w:val="000000" w:themeColor="text1"/>
                <w:kern w:val="0"/>
              </w:rPr>
            </w:pPr>
          </w:p>
          <w:p w14:paraId="0C8EA30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Pr>
                <w:rFonts w:ascii="標楷體" w:eastAsia="標楷體" w:hAnsi="標楷體"/>
                <w:color w:val="000000" w:themeColor="text1"/>
                <w:kern w:val="0"/>
              </w:rPr>
              <w:t>風雨球場地坪</w:t>
            </w:r>
          </w:p>
        </w:tc>
        <w:tc>
          <w:tcPr>
            <w:tcW w:w="256" w:type="pct"/>
            <w:vAlign w:val="center"/>
          </w:tcPr>
          <w:p w14:paraId="571117D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14:paraId="45CC53D8"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最底層：石土壓實(夯實度 95%)</w:t>
            </w:r>
          </w:p>
          <w:p w14:paraId="4AB95CE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14:paraId="442E2F82"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AE1786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76D4C9A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29B50221" w14:textId="77777777" w:rsidTr="00373E63">
        <w:trPr>
          <w:trHeight w:val="454"/>
        </w:trPr>
        <w:tc>
          <w:tcPr>
            <w:tcW w:w="256" w:type="pct"/>
            <w:vMerge/>
          </w:tcPr>
          <w:p w14:paraId="76E0D83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2AD361E4"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14:paraId="0A5F2C64"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14:paraId="0036B38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4D91E23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709F225A"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3F5D9E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47F164D" w14:textId="77777777" w:rsidTr="00373E63">
        <w:trPr>
          <w:trHeight w:val="454"/>
        </w:trPr>
        <w:tc>
          <w:tcPr>
            <w:tcW w:w="256" w:type="pct"/>
            <w:vMerge/>
          </w:tcPr>
          <w:p w14:paraId="201F80F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73A31017"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14:paraId="51AD416F" w14:textId="77777777"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14:paraId="7EB41B8F" w14:textId="77777777"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4cm 厚粗級配瀝青混凝土(鋪設前先噴灑瀝青透層)</w:t>
            </w:r>
          </w:p>
          <w:p w14:paraId="5E922DCA" w14:textId="77777777"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28F38D8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22884FA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62647F93"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188314B2" w14:textId="77777777" w:rsidTr="00373E63">
        <w:trPr>
          <w:trHeight w:val="454"/>
        </w:trPr>
        <w:tc>
          <w:tcPr>
            <w:tcW w:w="256" w:type="pct"/>
            <w:vMerge/>
          </w:tcPr>
          <w:p w14:paraId="5A87510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143C573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14:paraId="69EA41AD" w14:textId="77777777"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14:paraId="5AE6773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14:paraId="567966D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A6BB787"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616C72F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E05F61D" w14:textId="77777777" w:rsidTr="00373E63">
        <w:trPr>
          <w:trHeight w:val="454"/>
        </w:trPr>
        <w:tc>
          <w:tcPr>
            <w:tcW w:w="256" w:type="pct"/>
            <w:vMerge/>
          </w:tcPr>
          <w:p w14:paraId="77BDB58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3E9ACBF"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14:paraId="7694F7EC" w14:textId="77777777"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道壓克力運動面層(含</w:t>
            </w:r>
            <w:r>
              <w:rPr>
                <w:rFonts w:ascii="標楷體" w:eastAsia="標楷體" w:hAnsi="標楷體"/>
                <w:color w:val="000000" w:themeColor="text1"/>
                <w:kern w:val="0"/>
              </w:rPr>
              <w:t>既有面層刨除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複合彈性基材、壓克力基材、壓克力面材、畫線）</w:t>
            </w:r>
          </w:p>
        </w:tc>
        <w:tc>
          <w:tcPr>
            <w:tcW w:w="403" w:type="pct"/>
          </w:tcPr>
          <w:p w14:paraId="4BF7FF1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401CDA1"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43A5CC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715FB1B" w14:textId="77777777" w:rsidTr="00373E63">
        <w:trPr>
          <w:trHeight w:val="454"/>
        </w:trPr>
        <w:tc>
          <w:tcPr>
            <w:tcW w:w="256" w:type="pct"/>
            <w:vMerge w:val="restart"/>
            <w:vAlign w:val="center"/>
          </w:tcPr>
          <w:p w14:paraId="25BF9CBD"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14:paraId="42ECCF3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14:paraId="11D6083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14:paraId="5B05BEEE"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67A9CF6"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8E43D7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38665AD" w14:textId="77777777" w:rsidTr="00373E63">
        <w:trPr>
          <w:trHeight w:val="253"/>
        </w:trPr>
        <w:tc>
          <w:tcPr>
            <w:tcW w:w="256" w:type="pct"/>
            <w:vMerge/>
          </w:tcPr>
          <w:p w14:paraId="014F199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5295AD7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14:paraId="532B9DF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14:paraId="4B590BB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22246C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680283C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00E592C0" w14:textId="77777777" w:rsidTr="00373E63">
        <w:trPr>
          <w:trHeight w:val="339"/>
        </w:trPr>
        <w:tc>
          <w:tcPr>
            <w:tcW w:w="256" w:type="pct"/>
            <w:vMerge/>
          </w:tcPr>
          <w:p w14:paraId="15F7656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EFA0C2A"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14:paraId="69B188B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太陽光電模組鋁框與鋼構材接觸位置是否加裝鐵氟龍絕緣墊片以隔開二者，避免產生電位差腐蝕</w:t>
            </w:r>
          </w:p>
        </w:tc>
        <w:tc>
          <w:tcPr>
            <w:tcW w:w="403" w:type="pct"/>
          </w:tcPr>
          <w:p w14:paraId="5AD7A090"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D378F5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77833DC4"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5F78A79" w14:textId="77777777" w:rsidTr="00373E63">
        <w:trPr>
          <w:trHeight w:val="609"/>
        </w:trPr>
        <w:tc>
          <w:tcPr>
            <w:tcW w:w="256" w:type="pct"/>
            <w:vMerge/>
          </w:tcPr>
          <w:p w14:paraId="023B7DAF"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F516350"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14:paraId="305BD701"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螺絲組與太陽光電模組鋁框接觸處之平板華司下方應再加裝鐵氟龍絕緣墊片以隔開螺絲組及模組鋁框</w:t>
            </w:r>
          </w:p>
        </w:tc>
        <w:tc>
          <w:tcPr>
            <w:tcW w:w="403" w:type="pct"/>
          </w:tcPr>
          <w:p w14:paraId="4E5411E9"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0A3FFB9A"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3A4024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28F5B268" w14:textId="77777777" w:rsidTr="00373E63">
        <w:trPr>
          <w:trHeight w:val="239"/>
        </w:trPr>
        <w:tc>
          <w:tcPr>
            <w:tcW w:w="256" w:type="pct"/>
            <w:vMerge/>
          </w:tcPr>
          <w:p w14:paraId="14881E6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502EBBF"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14:paraId="1C1ADD2C"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為避免場地濕滑，整體設計應達到防漏水。惟雨天是否可教學、提供民眾使用需視當天狀況而定。</w:t>
            </w:r>
          </w:p>
        </w:tc>
        <w:tc>
          <w:tcPr>
            <w:tcW w:w="403" w:type="pct"/>
          </w:tcPr>
          <w:p w14:paraId="4DA3B23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BF87133"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51B721E" w14:textId="77777777"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14:paraId="2CE94845" w14:textId="77777777" w:rsidTr="00373E63">
        <w:trPr>
          <w:trHeight w:val="454"/>
        </w:trPr>
        <w:tc>
          <w:tcPr>
            <w:tcW w:w="256" w:type="pct"/>
            <w:vMerge w:val="restart"/>
            <w:vAlign w:val="center"/>
          </w:tcPr>
          <w:p w14:paraId="74C9FA8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14:paraId="039CD01C"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14:paraId="31E8652A"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14:paraId="3B7DCF6E" w14:textId="77777777"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14:paraId="648B7A4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5DE4B3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BF9100B" w14:textId="77777777"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14:paraId="1C87A1BC" w14:textId="77777777" w:rsidTr="00373E63">
        <w:trPr>
          <w:trHeight w:val="454"/>
        </w:trPr>
        <w:tc>
          <w:tcPr>
            <w:tcW w:w="256" w:type="pct"/>
            <w:vMerge/>
          </w:tcPr>
          <w:p w14:paraId="0C86437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15D772F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14:paraId="0561564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結構設計是否依建築物耐風設計規範進行設計與檢核，其中用途係數（I），採 I=1.1（含）以上、陣風反應因子（G），採G=1.88（含）以上作，為設計與計算基礎</w:t>
            </w:r>
          </w:p>
        </w:tc>
        <w:tc>
          <w:tcPr>
            <w:tcW w:w="403" w:type="pct"/>
          </w:tcPr>
          <w:p w14:paraId="02389E25"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5117A092"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1277E48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DEE6F3E" w14:textId="77777777" w:rsidTr="00373E63">
        <w:trPr>
          <w:trHeight w:val="454"/>
        </w:trPr>
        <w:tc>
          <w:tcPr>
            <w:tcW w:w="256" w:type="pct"/>
            <w:vMerge/>
          </w:tcPr>
          <w:p w14:paraId="1A5458B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30DCB096"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14:paraId="1D6F3C3E"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結構設計應符合「建築物耐震設計規範及解說」之規定，其中用途係數（I），採I=1.25（含）以上作為設計與計算基礎</w:t>
            </w:r>
          </w:p>
        </w:tc>
        <w:tc>
          <w:tcPr>
            <w:tcW w:w="403" w:type="pct"/>
          </w:tcPr>
          <w:p w14:paraId="4F66D08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365A486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4099235D"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41FD645F" w14:textId="77777777" w:rsidTr="00373E63">
        <w:trPr>
          <w:trHeight w:val="454"/>
        </w:trPr>
        <w:tc>
          <w:tcPr>
            <w:tcW w:w="256" w:type="pct"/>
            <w:vMerge/>
          </w:tcPr>
          <w:p w14:paraId="4F2E69CD"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429DB3DD"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14:paraId="370A0FA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螺絲組（包含螺絲、螺帽、平華司與彈簧華司等）是否為同一材質，可為熱浸鍍鋅或電鍍鋅材質或不銹鋼材質等抗腐蝕材質，並取得抗腐蝕品質測試報告</w:t>
            </w:r>
          </w:p>
        </w:tc>
        <w:tc>
          <w:tcPr>
            <w:tcW w:w="403" w:type="pct"/>
          </w:tcPr>
          <w:p w14:paraId="180883B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9B1E6D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58F1740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303402F" w14:textId="77777777" w:rsidTr="00373E63">
        <w:trPr>
          <w:trHeight w:val="454"/>
        </w:trPr>
        <w:tc>
          <w:tcPr>
            <w:tcW w:w="256" w:type="pct"/>
            <w:vMerge/>
          </w:tcPr>
          <w:p w14:paraId="310067F4"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77A0D481"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14:paraId="7005430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片彈簧華司、至少 2 片平板華司、至少 1 個抗腐蝕六角螺帽以及於六角螺帽上再套上 1 個抗腐蝕六角蓋型螺帽</w:t>
            </w:r>
          </w:p>
        </w:tc>
        <w:tc>
          <w:tcPr>
            <w:tcW w:w="403" w:type="pct"/>
          </w:tcPr>
          <w:p w14:paraId="14E998F3"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09D4C4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D856F15"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13E22386" w14:textId="77777777" w:rsidTr="00373E63">
        <w:trPr>
          <w:trHeight w:val="454"/>
        </w:trPr>
        <w:tc>
          <w:tcPr>
            <w:tcW w:w="256" w:type="pct"/>
            <w:vMerge w:val="restart"/>
            <w:vAlign w:val="center"/>
          </w:tcPr>
          <w:p w14:paraId="3EC236D2"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支撐架金屬基材耐腐蝕性能</w:t>
            </w:r>
          </w:p>
        </w:tc>
        <w:tc>
          <w:tcPr>
            <w:tcW w:w="256" w:type="pct"/>
            <w:vAlign w:val="center"/>
          </w:tcPr>
          <w:p w14:paraId="3BBDF7C5"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14:paraId="01D72679"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14:paraId="35EBA4A2" w14:textId="77777777"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若採用鋼構基材，應為一般結構用鋼材（如 ASTM A709、ASTM A36、A572 等）或冷軋鋼構材外加表面防蝕處理，或耐候鋼材（如 ASTM A588，CNS 4620，JIS G3114等）</w:t>
            </w:r>
          </w:p>
          <w:p w14:paraId="2C17A8EE" w14:textId="77777777"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14:paraId="22B88748"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1C2AA050"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2A54D7A8"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14:paraId="56C2FF3D" w14:textId="77777777" w:rsidTr="00373E63">
        <w:trPr>
          <w:trHeight w:val="454"/>
        </w:trPr>
        <w:tc>
          <w:tcPr>
            <w:tcW w:w="256" w:type="pct"/>
            <w:vMerge/>
          </w:tcPr>
          <w:p w14:paraId="657976D6"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14:paraId="7FD0E18E" w14:textId="77777777"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14:paraId="0B6A016C"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14:paraId="7CC53105" w14:textId="77777777"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基材表面處理，須以設置地點符合 ISO  9223 之腐蝕環境分類等級，且至少以中度腐蝕（ISO  9223-C3)等級以上為處理基準，並以 20 年（含）以上抗腐蝕性能進行表面處理，並由專業機構提出施作說明與品質保證證明</w:t>
            </w:r>
          </w:p>
          <w:p w14:paraId="33F69423" w14:textId="77777777"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14:paraId="159DDE5B" w14:textId="77777777"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14:paraId="64680227"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否□</w:t>
            </w:r>
          </w:p>
        </w:tc>
        <w:tc>
          <w:tcPr>
            <w:tcW w:w="333" w:type="pct"/>
          </w:tcPr>
          <w:p w14:paraId="05277BBF" w14:textId="77777777"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14:paraId="11C6B17D" w14:textId="77777777"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14:paraId="0E93B239" w14:textId="0C82DBEF" w:rsidR="00373E63" w:rsidRDefault="00373E63" w:rsidP="00373E63">
      <w:pPr>
        <w:widowControl/>
        <w:spacing w:line="276" w:lineRule="auto"/>
        <w:contextualSpacing/>
        <w:rPr>
          <w:rFonts w:ascii="標楷體" w:eastAsia="標楷體" w:hAnsi="標楷體"/>
          <w:color w:val="000000" w:themeColor="text1"/>
          <w:kern w:val="0"/>
        </w:rPr>
      </w:pPr>
      <w:r w:rsidRPr="00EF6059">
        <w:rPr>
          <w:rFonts w:ascii="標楷體" w:eastAsia="標楷體" w:hAnsi="標楷體"/>
          <w:color w:val="000000" w:themeColor="text1"/>
          <w:kern w:val="0"/>
        </w:rPr>
        <w:t>註：</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檢驗結果須全部為是，若有否者，則需由得標廠商盡速修正，以完成檢驗。</w:t>
      </w:r>
    </w:p>
    <w:sectPr w:rsidR="00373E63" w:rsidSect="00173FA1">
      <w:footerReference w:type="even" r:id="rId18"/>
      <w:footerReference w:type="default" r:id="rId19"/>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97162" w14:textId="77777777" w:rsidR="000E61BB" w:rsidRDefault="000E61BB">
      <w:r>
        <w:separator/>
      </w:r>
    </w:p>
  </w:endnote>
  <w:endnote w:type="continuationSeparator" w:id="0">
    <w:p w14:paraId="0E94AB96" w14:textId="77777777" w:rsidR="000E61BB" w:rsidRDefault="000E6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細明體"/>
    <w:charset w:val="00"/>
    <w:family w:val="modern"/>
    <w:pitch w:val="fixed"/>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新細明體;PMingLiU">
    <w:altName w:val="新細明體"/>
    <w:panose1 w:val="00000000000000000000"/>
    <w:charset w:val="88"/>
    <w:family w:val="roman"/>
    <w:notTrueType/>
    <w:pitch w:val="default"/>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B9156" w14:textId="77777777" w:rsidR="00B609C2" w:rsidRDefault="00B609C2"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8B367AF" w14:textId="77777777" w:rsidR="00B609C2" w:rsidRDefault="00B609C2">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21BDD" w14:textId="66E2F960" w:rsidR="00B609C2" w:rsidRDefault="00B609C2"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2166CE">
      <w:rPr>
        <w:rStyle w:val="a9"/>
        <w:noProof/>
      </w:rPr>
      <w:t>3</w:t>
    </w:r>
    <w:r>
      <w:rPr>
        <w:rStyle w:val="a9"/>
      </w:rPr>
      <w:fldChar w:fldCharType="end"/>
    </w:r>
  </w:p>
  <w:p w14:paraId="4E53AF85" w14:textId="77777777" w:rsidR="00B609C2" w:rsidRDefault="00B609C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171D58" w14:textId="77777777" w:rsidR="000E61BB" w:rsidRDefault="000E61BB">
      <w:r>
        <w:separator/>
      </w:r>
    </w:p>
  </w:footnote>
  <w:footnote w:type="continuationSeparator" w:id="0">
    <w:p w14:paraId="58504863" w14:textId="77777777" w:rsidR="000E61BB" w:rsidRDefault="000E61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8"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9"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10"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1"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4"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6"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9"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1"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3"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5"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8"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1"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5" w15:restartNumberingAfterBreak="0">
    <w:nsid w:val="4BFC3972"/>
    <w:multiLevelType w:val="multilevel"/>
    <w:tmpl w:val="F642CFB8"/>
    <w:styleLink w:val="WWNum17"/>
    <w:lvl w:ilvl="0">
      <w:start w:val="1"/>
      <w:numFmt w:val="japaneseCounting"/>
      <w:lvlText w:val="(%1)"/>
      <w:lvlJc w:val="left"/>
      <w:pPr>
        <w:ind w:left="1440" w:hanging="72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6"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7"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8"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9"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40"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2"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3"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5"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6"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7"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8"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9"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0"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51"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2"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3"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5"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6"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7"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8"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9"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0"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num>
  <w:num w:numId="3">
    <w:abstractNumId w:val="3"/>
  </w:num>
  <w:num w:numId="4">
    <w:abstractNumId w:val="34"/>
  </w:num>
  <w:num w:numId="5">
    <w:abstractNumId w:val="39"/>
  </w:num>
  <w:num w:numId="6">
    <w:abstractNumId w:val="8"/>
  </w:num>
  <w:num w:numId="7">
    <w:abstractNumId w:val="47"/>
  </w:num>
  <w:num w:numId="8">
    <w:abstractNumId w:val="33"/>
  </w:num>
  <w:num w:numId="9">
    <w:abstractNumId w:val="44"/>
  </w:num>
  <w:num w:numId="10">
    <w:abstractNumId w:val="59"/>
  </w:num>
  <w:num w:numId="11">
    <w:abstractNumId w:val="49"/>
  </w:num>
  <w:num w:numId="12">
    <w:abstractNumId w:val="23"/>
  </w:num>
  <w:num w:numId="13">
    <w:abstractNumId w:val="50"/>
  </w:num>
  <w:num w:numId="14">
    <w:abstractNumId w:val="55"/>
  </w:num>
  <w:num w:numId="15">
    <w:abstractNumId w:val="52"/>
  </w:num>
  <w:num w:numId="16">
    <w:abstractNumId w:val="60"/>
  </w:num>
  <w:num w:numId="17">
    <w:abstractNumId w:val="25"/>
  </w:num>
  <w:num w:numId="18">
    <w:abstractNumId w:val="0"/>
  </w:num>
  <w:num w:numId="19">
    <w:abstractNumId w:val="16"/>
  </w:num>
  <w:num w:numId="20">
    <w:abstractNumId w:val="24"/>
  </w:num>
  <w:num w:numId="21">
    <w:abstractNumId w:val="38"/>
  </w:num>
  <w:num w:numId="22">
    <w:abstractNumId w:val="32"/>
  </w:num>
  <w:num w:numId="23">
    <w:abstractNumId w:val="36"/>
  </w:num>
  <w:num w:numId="24">
    <w:abstractNumId w:val="19"/>
  </w:num>
  <w:num w:numId="25">
    <w:abstractNumId w:val="12"/>
  </w:num>
  <w:num w:numId="26">
    <w:abstractNumId w:val="20"/>
  </w:num>
  <w:num w:numId="27">
    <w:abstractNumId w:val="58"/>
  </w:num>
  <w:num w:numId="28">
    <w:abstractNumId w:val="29"/>
  </w:num>
  <w:num w:numId="29">
    <w:abstractNumId w:val="31"/>
  </w:num>
  <w:num w:numId="30">
    <w:abstractNumId w:val="4"/>
  </w:num>
  <w:num w:numId="31">
    <w:abstractNumId w:val="51"/>
  </w:num>
  <w:num w:numId="32">
    <w:abstractNumId w:val="57"/>
  </w:num>
  <w:num w:numId="33">
    <w:abstractNumId w:val="40"/>
  </w:num>
  <w:num w:numId="34">
    <w:abstractNumId w:val="43"/>
  </w:num>
  <w:num w:numId="35">
    <w:abstractNumId w:val="28"/>
  </w:num>
  <w:num w:numId="36">
    <w:abstractNumId w:val="1"/>
  </w:num>
  <w:num w:numId="37">
    <w:abstractNumId w:val="6"/>
  </w:num>
  <w:num w:numId="38">
    <w:abstractNumId w:val="27"/>
  </w:num>
  <w:num w:numId="39">
    <w:abstractNumId w:val="5"/>
  </w:num>
  <w:num w:numId="40">
    <w:abstractNumId w:val="45"/>
  </w:num>
  <w:num w:numId="41">
    <w:abstractNumId w:val="13"/>
  </w:num>
  <w:num w:numId="42">
    <w:abstractNumId w:val="48"/>
  </w:num>
  <w:num w:numId="43">
    <w:abstractNumId w:val="9"/>
  </w:num>
  <w:num w:numId="44">
    <w:abstractNumId w:val="42"/>
  </w:num>
  <w:num w:numId="45">
    <w:abstractNumId w:val="17"/>
  </w:num>
  <w:num w:numId="46">
    <w:abstractNumId w:val="14"/>
  </w:num>
  <w:num w:numId="47">
    <w:abstractNumId w:val="11"/>
  </w:num>
  <w:num w:numId="48">
    <w:abstractNumId w:val="2"/>
  </w:num>
  <w:num w:numId="49">
    <w:abstractNumId w:val="56"/>
  </w:num>
  <w:num w:numId="50">
    <w:abstractNumId w:val="37"/>
  </w:num>
  <w:num w:numId="51">
    <w:abstractNumId w:val="46"/>
  </w:num>
  <w:num w:numId="52">
    <w:abstractNumId w:val="22"/>
  </w:num>
  <w:num w:numId="53">
    <w:abstractNumId w:val="30"/>
  </w:num>
  <w:num w:numId="54">
    <w:abstractNumId w:val="21"/>
  </w:num>
  <w:num w:numId="55">
    <w:abstractNumId w:val="10"/>
  </w:num>
  <w:num w:numId="56">
    <w:abstractNumId w:val="18"/>
  </w:num>
  <w:num w:numId="57">
    <w:abstractNumId w:val="15"/>
  </w:num>
  <w:num w:numId="58">
    <w:abstractNumId w:val="53"/>
  </w:num>
  <w:num w:numId="59">
    <w:abstractNumId w:val="26"/>
  </w:num>
  <w:num w:numId="60">
    <w:abstractNumId w:val="7"/>
  </w:num>
  <w:num w:numId="61">
    <w:abstractNumId w:val="3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565A"/>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2A6"/>
    <w:rsid w:val="00042BA2"/>
    <w:rsid w:val="000433CA"/>
    <w:rsid w:val="0004352A"/>
    <w:rsid w:val="00043C22"/>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0BE"/>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42B6"/>
    <w:rsid w:val="000A5142"/>
    <w:rsid w:val="000A55F1"/>
    <w:rsid w:val="000A5DC9"/>
    <w:rsid w:val="000A701A"/>
    <w:rsid w:val="000A7974"/>
    <w:rsid w:val="000B0AF4"/>
    <w:rsid w:val="000B1EE6"/>
    <w:rsid w:val="000B2C30"/>
    <w:rsid w:val="000B3439"/>
    <w:rsid w:val="000B4194"/>
    <w:rsid w:val="000B76F0"/>
    <w:rsid w:val="000B7CE5"/>
    <w:rsid w:val="000C10F6"/>
    <w:rsid w:val="000C20BC"/>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1BB"/>
    <w:rsid w:val="000E68DB"/>
    <w:rsid w:val="000E68FA"/>
    <w:rsid w:val="000E6EBB"/>
    <w:rsid w:val="000E714F"/>
    <w:rsid w:val="000E7DA2"/>
    <w:rsid w:val="000F0341"/>
    <w:rsid w:val="000F0A9C"/>
    <w:rsid w:val="000F1D95"/>
    <w:rsid w:val="000F256F"/>
    <w:rsid w:val="000F4347"/>
    <w:rsid w:val="000F5533"/>
    <w:rsid w:val="000F62DA"/>
    <w:rsid w:val="0010015B"/>
    <w:rsid w:val="001001B4"/>
    <w:rsid w:val="00102743"/>
    <w:rsid w:val="0010355D"/>
    <w:rsid w:val="00104A68"/>
    <w:rsid w:val="001076CE"/>
    <w:rsid w:val="00107FEB"/>
    <w:rsid w:val="00110160"/>
    <w:rsid w:val="00111D3F"/>
    <w:rsid w:val="00112673"/>
    <w:rsid w:val="00112960"/>
    <w:rsid w:val="0011407F"/>
    <w:rsid w:val="00114F95"/>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97BDB"/>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66CE"/>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1B94"/>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3CD"/>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154B"/>
    <w:rsid w:val="004021A7"/>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5EF7"/>
    <w:rsid w:val="00467984"/>
    <w:rsid w:val="00470E2C"/>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479B"/>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6E8"/>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5C0"/>
    <w:rsid w:val="005868A8"/>
    <w:rsid w:val="005901F1"/>
    <w:rsid w:val="00590EF9"/>
    <w:rsid w:val="0059106C"/>
    <w:rsid w:val="00593786"/>
    <w:rsid w:val="00593B46"/>
    <w:rsid w:val="00593EE5"/>
    <w:rsid w:val="00597637"/>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21E4"/>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61A2"/>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17E7"/>
    <w:rsid w:val="007A24D9"/>
    <w:rsid w:val="007A3087"/>
    <w:rsid w:val="007A312E"/>
    <w:rsid w:val="007A4F4C"/>
    <w:rsid w:val="007A5433"/>
    <w:rsid w:val="007A6940"/>
    <w:rsid w:val="007A7FB8"/>
    <w:rsid w:val="007B0039"/>
    <w:rsid w:val="007B03C7"/>
    <w:rsid w:val="007B0FD7"/>
    <w:rsid w:val="007B179F"/>
    <w:rsid w:val="007B1BC2"/>
    <w:rsid w:val="007B1C8B"/>
    <w:rsid w:val="007B4684"/>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684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6E6"/>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6F6F"/>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E10"/>
    <w:rsid w:val="009A1DE4"/>
    <w:rsid w:val="009A2043"/>
    <w:rsid w:val="009A217F"/>
    <w:rsid w:val="009A3433"/>
    <w:rsid w:val="009A3792"/>
    <w:rsid w:val="009A4442"/>
    <w:rsid w:val="009A5718"/>
    <w:rsid w:val="009A5834"/>
    <w:rsid w:val="009A5870"/>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1AE0"/>
    <w:rsid w:val="009C33E9"/>
    <w:rsid w:val="009C4820"/>
    <w:rsid w:val="009C6AEA"/>
    <w:rsid w:val="009C6CBD"/>
    <w:rsid w:val="009C7187"/>
    <w:rsid w:val="009C7239"/>
    <w:rsid w:val="009D028C"/>
    <w:rsid w:val="009D0A83"/>
    <w:rsid w:val="009D0A9E"/>
    <w:rsid w:val="009D107C"/>
    <w:rsid w:val="009D194B"/>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48F1"/>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4F34"/>
    <w:rsid w:val="00A3529C"/>
    <w:rsid w:val="00A354CF"/>
    <w:rsid w:val="00A3599C"/>
    <w:rsid w:val="00A3693F"/>
    <w:rsid w:val="00A374E7"/>
    <w:rsid w:val="00A37704"/>
    <w:rsid w:val="00A37B63"/>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083"/>
    <w:rsid w:val="00A76281"/>
    <w:rsid w:val="00A76A45"/>
    <w:rsid w:val="00A76FDB"/>
    <w:rsid w:val="00A804A9"/>
    <w:rsid w:val="00A81100"/>
    <w:rsid w:val="00A81EB2"/>
    <w:rsid w:val="00A83EED"/>
    <w:rsid w:val="00A85EDD"/>
    <w:rsid w:val="00A86072"/>
    <w:rsid w:val="00A906CC"/>
    <w:rsid w:val="00A915C1"/>
    <w:rsid w:val="00A91D39"/>
    <w:rsid w:val="00A92607"/>
    <w:rsid w:val="00A93281"/>
    <w:rsid w:val="00A9385F"/>
    <w:rsid w:val="00A939EC"/>
    <w:rsid w:val="00A94103"/>
    <w:rsid w:val="00AA0DF0"/>
    <w:rsid w:val="00AA12F7"/>
    <w:rsid w:val="00AA2216"/>
    <w:rsid w:val="00AA2821"/>
    <w:rsid w:val="00AA3285"/>
    <w:rsid w:val="00AA3428"/>
    <w:rsid w:val="00AA4A0A"/>
    <w:rsid w:val="00AA556B"/>
    <w:rsid w:val="00AA6BA6"/>
    <w:rsid w:val="00AA6C18"/>
    <w:rsid w:val="00AB02B5"/>
    <w:rsid w:val="00AB0FB3"/>
    <w:rsid w:val="00AB1EC6"/>
    <w:rsid w:val="00AB3234"/>
    <w:rsid w:val="00AB5FC3"/>
    <w:rsid w:val="00AB65D3"/>
    <w:rsid w:val="00AC03CD"/>
    <w:rsid w:val="00AC05D4"/>
    <w:rsid w:val="00AC06AD"/>
    <w:rsid w:val="00AC0A0D"/>
    <w:rsid w:val="00AC115F"/>
    <w:rsid w:val="00AC1CF4"/>
    <w:rsid w:val="00AC2603"/>
    <w:rsid w:val="00AC2733"/>
    <w:rsid w:val="00AC2750"/>
    <w:rsid w:val="00AC3A4E"/>
    <w:rsid w:val="00AC3BD6"/>
    <w:rsid w:val="00AC5A80"/>
    <w:rsid w:val="00AC7987"/>
    <w:rsid w:val="00AD1702"/>
    <w:rsid w:val="00AD375E"/>
    <w:rsid w:val="00AD3A72"/>
    <w:rsid w:val="00AD4465"/>
    <w:rsid w:val="00AD69CA"/>
    <w:rsid w:val="00AE2B28"/>
    <w:rsid w:val="00AE317C"/>
    <w:rsid w:val="00AE3457"/>
    <w:rsid w:val="00AE5388"/>
    <w:rsid w:val="00AE55AE"/>
    <w:rsid w:val="00AE5CE0"/>
    <w:rsid w:val="00AF38D2"/>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1CA9"/>
    <w:rsid w:val="00B11F0F"/>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0B"/>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BCD"/>
    <w:rsid w:val="00B51B5C"/>
    <w:rsid w:val="00B51EA3"/>
    <w:rsid w:val="00B52224"/>
    <w:rsid w:val="00B53C07"/>
    <w:rsid w:val="00B54561"/>
    <w:rsid w:val="00B54654"/>
    <w:rsid w:val="00B54BD2"/>
    <w:rsid w:val="00B54D02"/>
    <w:rsid w:val="00B55BA4"/>
    <w:rsid w:val="00B55F83"/>
    <w:rsid w:val="00B60679"/>
    <w:rsid w:val="00B609C2"/>
    <w:rsid w:val="00B6218E"/>
    <w:rsid w:val="00B64B2B"/>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45D5"/>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0E7"/>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730D"/>
    <w:rsid w:val="00C97CE3"/>
    <w:rsid w:val="00CA0512"/>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B8E"/>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A07"/>
    <w:rsid w:val="00CD7D32"/>
    <w:rsid w:val="00CE0077"/>
    <w:rsid w:val="00CE0C50"/>
    <w:rsid w:val="00CE2364"/>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1441"/>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69C6"/>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D38"/>
    <w:rsid w:val="00E02F3B"/>
    <w:rsid w:val="00E03E86"/>
    <w:rsid w:val="00E04272"/>
    <w:rsid w:val="00E04424"/>
    <w:rsid w:val="00E0444F"/>
    <w:rsid w:val="00E05CA1"/>
    <w:rsid w:val="00E06C88"/>
    <w:rsid w:val="00E076FC"/>
    <w:rsid w:val="00E108A1"/>
    <w:rsid w:val="00E11253"/>
    <w:rsid w:val="00E11EB2"/>
    <w:rsid w:val="00E12A1E"/>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0F8C"/>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2EC1"/>
    <w:rsid w:val="00F03038"/>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B75D158"/>
  <w15:docId w15:val="{012E1807-75DD-4048-9D35-FF8997CD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rsid w:val="00054009"/>
    <w:rPr>
      <w:rFonts w:ascii="新細明體" w:hAnsi="新細明體" w:cs="新細明體"/>
      <w:sz w:val="24"/>
      <w:szCs w:val="24"/>
    </w:rPr>
  </w:style>
  <w:style w:type="paragraph" w:styleId="2">
    <w:name w:val="Body Text 2"/>
    <w:basedOn w:val="a0"/>
    <w:link w:val="20"/>
    <w:rsid w:val="00197BDB"/>
    <w:pPr>
      <w:suppressAutoHyphens/>
      <w:autoSpaceDN w:val="0"/>
      <w:spacing w:after="120" w:line="480" w:lineRule="auto"/>
      <w:textAlignment w:val="baseline"/>
    </w:pPr>
    <w:rPr>
      <w:kern w:val="0"/>
      <w:szCs w:val="20"/>
    </w:rPr>
  </w:style>
  <w:style w:type="character" w:customStyle="1" w:styleId="20">
    <w:name w:val="本文 2 字元"/>
    <w:basedOn w:val="a1"/>
    <w:link w:val="2"/>
    <w:rsid w:val="00197BDB"/>
    <w:rPr>
      <w:sz w:val="24"/>
    </w:rPr>
  </w:style>
  <w:style w:type="paragraph" w:customStyle="1" w:styleId="Standard">
    <w:name w:val="Standard"/>
    <w:rsid w:val="00AD69CA"/>
    <w:pPr>
      <w:widowControl w:val="0"/>
      <w:suppressAutoHyphens/>
      <w:autoSpaceDN w:val="0"/>
      <w:textAlignment w:val="baseline"/>
    </w:pPr>
    <w:rPr>
      <w:kern w:val="3"/>
      <w:sz w:val="24"/>
      <w:szCs w:val="24"/>
    </w:rPr>
  </w:style>
  <w:style w:type="numbering" w:customStyle="1" w:styleId="WWNum17">
    <w:name w:val="WWNum17"/>
    <w:basedOn w:val="a3"/>
    <w:rsid w:val="00AD69CA"/>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611327645">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gechief-p@mail.moj.gov.tw" TargetMode="External"/><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6CD8D-0F73-4CD1-B42E-709FDC0BA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37</Pages>
  <Words>3397</Words>
  <Characters>19367</Characters>
  <Application>Microsoft Office Word</Application>
  <DocSecurity>0</DocSecurity>
  <Lines>161</Lines>
  <Paragraphs>45</Paragraphs>
  <ScaleCrop>false</ScaleCrop>
  <Company>iMAX Design.</Company>
  <LinksUpToDate>false</LinksUpToDate>
  <CharactersWithSpaces>22719</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creator>yulun</dc:creator>
  <cp:lastModifiedBy>5A88</cp:lastModifiedBy>
  <cp:revision>14</cp:revision>
  <cp:lastPrinted>2020-09-01T06:54:00Z</cp:lastPrinted>
  <dcterms:created xsi:type="dcterms:W3CDTF">2023-11-17T06:04:00Z</dcterms:created>
  <dcterms:modified xsi:type="dcterms:W3CDTF">2023-11-29T00:11:00Z</dcterms:modified>
</cp:coreProperties>
</file>