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004"/>
        <w:gridCol w:w="5602"/>
      </w:tblGrid>
      <w:tr>
        <w:trPr>
          <w:trHeight w:val="1" w:hRule="atLeast"/>
          <w:jc w:val="left"/>
        </w:trPr>
        <w:tc>
          <w:tcPr>
            <w:tcW w:w="4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32"/>
                <w:shd w:fill="auto" w:val="clear"/>
              </w:rPr>
              <w:t xml:space="preserve">項目</w:t>
            </w:r>
          </w:p>
        </w:tc>
        <w:tc>
          <w:tcPr>
            <w:tcW w:w="5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32"/>
                <w:shd w:fill="auto" w:val="clear"/>
              </w:rPr>
              <w:t xml:space="preserve">預防作為之照片</w:t>
            </w:r>
          </w:p>
        </w:tc>
      </w:tr>
      <w:tr>
        <w:trPr>
          <w:trHeight w:val="4221" w:hRule="auto"/>
          <w:jc w:val="left"/>
        </w:trPr>
        <w:tc>
          <w:tcPr>
            <w:tcW w:w="4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各機關、學校公文或檔案放置地點之機密與安全性</w:t>
            </w:r>
          </w:p>
        </w:tc>
        <w:tc>
          <w:tcPr>
            <w:tcW w:w="5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各機關、學校連續假日期間電腦機房或辦公處所之門禁管制情形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各機關、學校之安全危害之潛勢區域業已完成安全維護措施之情形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