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1" w:rsidRPr="00B20236" w:rsidRDefault="007D6AB3" w:rsidP="007D6AB3">
      <w:pPr>
        <w:jc w:val="center"/>
        <w:rPr>
          <w:rFonts w:ascii="標楷體" w:eastAsia="標楷體" w:hAnsi="標楷體"/>
          <w:sz w:val="28"/>
          <w:szCs w:val="28"/>
        </w:rPr>
      </w:pPr>
      <w:r w:rsidRPr="00B20236">
        <w:rPr>
          <w:rFonts w:ascii="標楷體" w:eastAsia="標楷體" w:hAnsi="標楷體" w:hint="eastAsia"/>
          <w:sz w:val="28"/>
          <w:szCs w:val="28"/>
        </w:rPr>
        <w:t>10</w:t>
      </w:r>
      <w:r w:rsidR="00D82234" w:rsidRPr="00B20236">
        <w:rPr>
          <w:rFonts w:ascii="標楷體" w:eastAsia="標楷體" w:hAnsi="標楷體" w:hint="eastAsia"/>
          <w:sz w:val="28"/>
          <w:szCs w:val="28"/>
        </w:rPr>
        <w:t>4</w:t>
      </w:r>
      <w:r w:rsidRPr="00B20236">
        <w:rPr>
          <w:rFonts w:ascii="標楷體" w:eastAsia="標楷體" w:hAnsi="標楷體" w:hint="eastAsia"/>
          <w:sz w:val="28"/>
          <w:szCs w:val="28"/>
        </w:rPr>
        <w:t>學年度</w:t>
      </w:r>
      <w:r w:rsidR="00D82234" w:rsidRPr="00B20236">
        <w:rPr>
          <w:rFonts w:ascii="標楷體" w:eastAsia="標楷體" w:hAnsi="標楷體" w:hint="eastAsia"/>
          <w:sz w:val="28"/>
          <w:szCs w:val="28"/>
        </w:rPr>
        <w:t>高級中等學校</w:t>
      </w:r>
      <w:r w:rsidRPr="00B20236">
        <w:rPr>
          <w:rFonts w:ascii="標楷體" w:eastAsia="標楷體" w:hAnsi="標楷體" w:hint="eastAsia"/>
          <w:sz w:val="28"/>
          <w:szCs w:val="28"/>
        </w:rPr>
        <w:t>特色招生職業類科甄選入學術科測驗內容審查</w:t>
      </w:r>
      <w:r w:rsidR="00F71DCF" w:rsidRPr="00B20236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4"/>
        <w:gridCol w:w="3788"/>
        <w:gridCol w:w="1294"/>
        <w:gridCol w:w="3814"/>
      </w:tblGrid>
      <w:tr w:rsidR="00F836BA" w:rsidRPr="00B20236" w:rsidTr="00907270">
        <w:trPr>
          <w:trHeight w:val="547"/>
          <w:jc w:val="center"/>
        </w:trPr>
        <w:tc>
          <w:tcPr>
            <w:tcW w:w="1524" w:type="dxa"/>
            <w:vAlign w:val="center"/>
          </w:tcPr>
          <w:p w:rsidR="00F836BA" w:rsidRPr="00B20236" w:rsidRDefault="00F836BA" w:rsidP="007D6AB3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學校名稱(全銜)</w:t>
            </w:r>
          </w:p>
        </w:tc>
        <w:tc>
          <w:tcPr>
            <w:tcW w:w="8896" w:type="dxa"/>
            <w:gridSpan w:val="3"/>
          </w:tcPr>
          <w:p w:rsidR="00F836BA" w:rsidRPr="00B20236" w:rsidRDefault="00D45642">
            <w:pPr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國立臺南高級工業職業學校</w:t>
            </w:r>
          </w:p>
        </w:tc>
      </w:tr>
      <w:tr w:rsidR="00F836BA" w:rsidRPr="00B20236" w:rsidTr="00907270">
        <w:trPr>
          <w:trHeight w:val="541"/>
          <w:jc w:val="center"/>
        </w:trPr>
        <w:tc>
          <w:tcPr>
            <w:tcW w:w="1524" w:type="dxa"/>
            <w:vAlign w:val="center"/>
          </w:tcPr>
          <w:p w:rsidR="00F836BA" w:rsidRPr="00B20236" w:rsidRDefault="00F836BA" w:rsidP="007D6AB3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F836BA" w:rsidRPr="00B20236" w:rsidRDefault="00D45642">
            <w:pPr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103年4月25日(六)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6BA" w:rsidRPr="00B20236" w:rsidRDefault="00F836BA" w:rsidP="00F836BA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科班名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F836BA" w:rsidRPr="00B20236" w:rsidRDefault="00373464">
            <w:pPr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cs="Times New Roman" w:hint="eastAsia"/>
                <w:color w:val="000000"/>
              </w:rPr>
              <w:t>板金科金屬創意特色班</w:t>
            </w:r>
          </w:p>
        </w:tc>
      </w:tr>
      <w:tr w:rsidR="007D6AB3" w:rsidRPr="00B20236" w:rsidTr="00907270">
        <w:trPr>
          <w:trHeight w:val="562"/>
          <w:jc w:val="center"/>
        </w:trPr>
        <w:tc>
          <w:tcPr>
            <w:tcW w:w="1524" w:type="dxa"/>
            <w:vAlign w:val="center"/>
          </w:tcPr>
          <w:p w:rsidR="007D6AB3" w:rsidRPr="00B20236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8896" w:type="dxa"/>
            <w:gridSpan w:val="3"/>
          </w:tcPr>
          <w:p w:rsidR="007D6AB3" w:rsidRPr="00B20236" w:rsidRDefault="00373464" w:rsidP="009B4F63">
            <w:pPr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cs="標楷體" w:hint="eastAsia"/>
                <w:color w:val="000000"/>
              </w:rPr>
              <w:t>空間概念三視圖</w:t>
            </w:r>
            <w:r w:rsidR="00964075">
              <w:rPr>
                <w:rFonts w:ascii="標楷體" w:eastAsia="標楷體" w:hAnsi="標楷體" w:cs="標楷體" w:hint="eastAsia"/>
                <w:color w:val="000000"/>
              </w:rPr>
              <w:t>判斷及素描</w:t>
            </w:r>
          </w:p>
        </w:tc>
      </w:tr>
      <w:tr w:rsidR="007D6AB3" w:rsidRPr="00B20236" w:rsidTr="00907270">
        <w:trPr>
          <w:trHeight w:val="2267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7D6AB3" w:rsidRPr="00B20236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6927"/>
            </w:tblGrid>
            <w:tr w:rsidR="00BB7C07" w:rsidRPr="00B20236" w:rsidTr="00BA62C6">
              <w:trPr>
                <w:jc w:val="center"/>
              </w:trPr>
              <w:tc>
                <w:tcPr>
                  <w:tcW w:w="1809" w:type="dxa"/>
                  <w:shd w:val="clear" w:color="auto" w:fill="F2F2F2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20236">
                    <w:rPr>
                      <w:rFonts w:ascii="標楷體" w:eastAsia="標楷體" w:hAnsi="標楷體" w:hint="eastAsia"/>
                      <w:b/>
                    </w:rPr>
                    <w:t>命題規準</w:t>
                  </w:r>
                </w:p>
              </w:tc>
              <w:tc>
                <w:tcPr>
                  <w:tcW w:w="7349" w:type="dxa"/>
                  <w:shd w:val="clear" w:color="auto" w:fill="F2F2F2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20236">
                    <w:rPr>
                      <w:rFonts w:ascii="標楷體" w:eastAsia="標楷體" w:hAnsi="標楷體" w:hint="eastAsia"/>
                      <w:b/>
                    </w:rPr>
                    <w:t>分析結果</w:t>
                  </w:r>
                </w:p>
              </w:tc>
            </w:tr>
            <w:tr w:rsidR="00BB7C07" w:rsidRPr="00B20236" w:rsidTr="00BA62C6">
              <w:trPr>
                <w:trHeight w:val="892"/>
                <w:jc w:val="center"/>
              </w:trPr>
              <w:tc>
                <w:tcPr>
                  <w:tcW w:w="1809" w:type="dxa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具聯接性</w:t>
                  </w:r>
                </w:p>
              </w:tc>
              <w:tc>
                <w:tcPr>
                  <w:tcW w:w="7349" w:type="dxa"/>
                  <w:vAlign w:val="center"/>
                </w:tcPr>
                <w:p w:rsidR="00BB7C07" w:rsidRPr="00B20236" w:rsidRDefault="00BB7C07" w:rsidP="00BA62C6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術科測驗考題能聯結與對準九年一貫課程綱要領域之數學學習領域、自然與生活科技、綜合活動學習領域等能力指標。</w:t>
                  </w:r>
                </w:p>
              </w:tc>
            </w:tr>
            <w:tr w:rsidR="00BB7C07" w:rsidRPr="00B20236" w:rsidTr="00BA62C6">
              <w:trPr>
                <w:trHeight w:val="892"/>
                <w:jc w:val="center"/>
              </w:trPr>
              <w:tc>
                <w:tcPr>
                  <w:tcW w:w="1809" w:type="dxa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有區別性</w:t>
                  </w:r>
                </w:p>
              </w:tc>
              <w:tc>
                <w:tcPr>
                  <w:tcW w:w="7349" w:type="dxa"/>
                  <w:vAlign w:val="center"/>
                </w:tcPr>
                <w:p w:rsidR="00BB7C07" w:rsidRPr="00B20236" w:rsidRDefault="00BB7C07" w:rsidP="00BA62C6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術科測驗考題符合數學推理、邏輯推理和空間關係等性向，能區別學生對機械群之學習興趣及發展潛能。</w:t>
                  </w:r>
                </w:p>
              </w:tc>
            </w:tr>
            <w:tr w:rsidR="00BB7C07" w:rsidRPr="00B20236" w:rsidTr="00BA62C6">
              <w:trPr>
                <w:trHeight w:val="892"/>
                <w:jc w:val="center"/>
              </w:trPr>
              <w:tc>
                <w:tcPr>
                  <w:tcW w:w="1809" w:type="dxa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可操作性</w:t>
                  </w:r>
                </w:p>
              </w:tc>
              <w:tc>
                <w:tcPr>
                  <w:tcW w:w="7349" w:type="dxa"/>
                  <w:vAlign w:val="center"/>
                </w:tcPr>
                <w:p w:rsidR="00BB7C07" w:rsidRPr="00B20236" w:rsidRDefault="00BB7C07" w:rsidP="00BA62C6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術科測驗考題可運用</w:t>
                  </w:r>
                  <w:r w:rsidR="00964075">
                    <w:rPr>
                      <w:rFonts w:ascii="標楷體" w:eastAsia="標楷體" w:hAnsi="標楷體" w:hint="eastAsia"/>
                    </w:rPr>
                    <w:t>繪圖</w:t>
                  </w:r>
                  <w:r w:rsidRPr="00B20236">
                    <w:rPr>
                      <w:rFonts w:ascii="標楷體" w:eastAsia="標楷體" w:hAnsi="標楷體" w:hint="eastAsia"/>
                    </w:rPr>
                    <w:t>工具</w:t>
                  </w:r>
                  <w:r w:rsidR="00964075">
                    <w:rPr>
                      <w:rFonts w:ascii="標楷體" w:eastAsia="標楷體" w:hAnsi="標楷體" w:hint="eastAsia"/>
                    </w:rPr>
                    <w:t>及空間概念</w:t>
                  </w:r>
                  <w:r w:rsidRPr="00B20236">
                    <w:rPr>
                      <w:rFonts w:ascii="標楷體" w:eastAsia="標楷體" w:hAnsi="標楷體"/>
                    </w:rPr>
                    <w:t>…</w:t>
                  </w:r>
                  <w:r w:rsidRPr="00B20236">
                    <w:rPr>
                      <w:rFonts w:ascii="標楷體" w:eastAsia="標楷體" w:hAnsi="標楷體" w:hint="eastAsia"/>
                    </w:rPr>
                    <w:t>等，經過主辦學校統一說明後，應考生能在一定時間內完成測驗。</w:t>
                  </w:r>
                </w:p>
              </w:tc>
            </w:tr>
            <w:tr w:rsidR="00BB7C07" w:rsidRPr="00B20236" w:rsidTr="00BA62C6">
              <w:trPr>
                <w:trHeight w:val="892"/>
                <w:jc w:val="center"/>
              </w:trPr>
              <w:tc>
                <w:tcPr>
                  <w:tcW w:w="1809" w:type="dxa"/>
                  <w:vAlign w:val="center"/>
                </w:tcPr>
                <w:p w:rsidR="00BB7C07" w:rsidRPr="00B20236" w:rsidRDefault="00BB7C07" w:rsidP="00BA62C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明確說明</w:t>
                  </w:r>
                </w:p>
              </w:tc>
              <w:tc>
                <w:tcPr>
                  <w:tcW w:w="7349" w:type="dxa"/>
                  <w:vAlign w:val="center"/>
                </w:tcPr>
                <w:p w:rsidR="00BB7C07" w:rsidRPr="00B20236" w:rsidRDefault="00BB7C07" w:rsidP="00BA62C6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B20236">
                    <w:rPr>
                      <w:rFonts w:ascii="標楷體" w:eastAsia="標楷體" w:hAnsi="標楷體" w:hint="eastAsia"/>
                    </w:rPr>
                    <w:t>測驗學生識圖與製圖能力，以及空間幾何概念，並以投影原理繪製三視圖進行評分。</w:t>
                  </w:r>
                </w:p>
              </w:tc>
            </w:tr>
          </w:tbl>
          <w:p w:rsidR="00251DE5" w:rsidRPr="00B20236" w:rsidRDefault="00251DE5">
            <w:pPr>
              <w:rPr>
                <w:rFonts w:ascii="標楷體" w:eastAsia="標楷體" w:hAnsi="標楷體"/>
              </w:rPr>
            </w:pPr>
          </w:p>
        </w:tc>
      </w:tr>
      <w:tr w:rsidR="00964075" w:rsidRPr="00B20236" w:rsidTr="00F40369">
        <w:trPr>
          <w:trHeight w:val="5126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964075" w:rsidRPr="00B20236" w:rsidRDefault="00964075" w:rsidP="00230D98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術科測驗內容及試題範例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</w:tcBorders>
          </w:tcPr>
          <w:p w:rsidR="00964075" w:rsidRPr="00964075" w:rsidRDefault="00964075" w:rsidP="0096407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B20236">
              <w:rPr>
                <w:rFonts w:ascii="標楷體" w:eastAsia="標楷體" w:hAnsi="標楷體" w:cs="標楷體" w:hint="eastAsia"/>
                <w:color w:val="000000"/>
              </w:rPr>
              <w:t>【空間概念三視圖</w:t>
            </w:r>
            <w:r>
              <w:rPr>
                <w:rFonts w:ascii="標楷體" w:eastAsia="標楷體" w:hAnsi="標楷體" w:cs="標楷體" w:hint="eastAsia"/>
                <w:color w:val="000000"/>
              </w:rPr>
              <w:t>判斷</w:t>
            </w:r>
            <w:r w:rsidRPr="00B20236">
              <w:rPr>
                <w:rFonts w:ascii="標楷體" w:eastAsia="標楷體" w:hAnsi="標楷體" w:cs="標楷體" w:hint="eastAsia"/>
                <w:color w:val="000000"/>
              </w:rPr>
              <w:t>】</w:t>
            </w:r>
          </w:p>
          <w:p w:rsidR="00964075" w:rsidRDefault="00964075" w:rsidP="00907270">
            <w:pPr>
              <w:rPr>
                <w:rFonts w:ascii="標楷體" w:eastAsia="標楷體" w:hAnsi="標楷體" w:cs="標楷體"/>
                <w:noProof/>
                <w:color w:val="000000"/>
              </w:rPr>
            </w:pPr>
            <w:r w:rsidRPr="00B20236">
              <w:rPr>
                <w:rFonts w:ascii="標楷體" w:eastAsia="標楷體" w:hAnsi="標楷體" w:cs="標楷體" w:hint="eastAsia"/>
                <w:color w:val="000000"/>
              </w:rPr>
              <w:t>試題範例及解答:</w:t>
            </w:r>
            <w:r w:rsidRPr="00B20236">
              <w:rPr>
                <w:rFonts w:ascii="標楷體" w:eastAsia="標楷體" w:hAnsi="標楷體" w:cs="標楷體" w:hint="eastAsia"/>
                <w:noProof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t>請按物體立體圖每面標示之英文符號，填答於相關三視圖括弧內</w:t>
            </w:r>
          </w:p>
          <w:p w:rsidR="00964075" w:rsidRDefault="00964075" w:rsidP="00907270">
            <w:pPr>
              <w:rPr>
                <w:rFonts w:ascii="標楷體" w:eastAsia="標楷體" w:hAnsi="標楷體" w:cs="標楷體"/>
                <w:noProof/>
                <w:color w:val="000000"/>
              </w:rPr>
            </w:pPr>
          </w:p>
          <w:p w:rsidR="00964075" w:rsidRDefault="00964075" w:rsidP="00B71330">
            <w:pPr>
              <w:rPr>
                <w:rFonts w:ascii="標楷體" w:eastAsia="標楷體" w:hAnsi="標楷體" w:cs="標楷體"/>
                <w:noProof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drawing>
                <wp:inline distT="0" distB="0" distL="0" distR="0" wp14:anchorId="144C11E0" wp14:editId="455689C1">
                  <wp:extent cx="3357442" cy="1821180"/>
                  <wp:effectExtent l="19050" t="19050" r="14605" b="2667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442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t xml:space="preserve">  </w:t>
            </w:r>
            <w:r w:rsidRPr="00B71330">
              <w:rPr>
                <w:rFonts w:ascii="標楷體" w:eastAsia="標楷體" w:hAnsi="標楷體" w:cs="標楷體"/>
                <w:noProof/>
                <w:color w:val="000000"/>
              </w:rPr>
              <w:drawing>
                <wp:inline distT="0" distB="0" distL="0" distR="0" wp14:anchorId="23EF809D" wp14:editId="3625D629">
                  <wp:extent cx="1722120" cy="1829751"/>
                  <wp:effectExtent l="19050" t="19050" r="11430" b="18415"/>
                  <wp:docPr id="10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44" cy="18338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64075" w:rsidRPr="00964075" w:rsidRDefault="00964075" w:rsidP="0090727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A2C5C" w:rsidRPr="00B20236" w:rsidTr="00907270">
        <w:trPr>
          <w:trHeight w:val="798"/>
          <w:jc w:val="center"/>
        </w:trPr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8A2C5C" w:rsidRPr="00B20236" w:rsidRDefault="008A2C5C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p w:rsidR="008A2C5C" w:rsidRPr="00964075" w:rsidRDefault="00964075" w:rsidP="00964075">
            <w:pPr>
              <w:rPr>
                <w:rFonts w:ascii="標楷體" w:eastAsia="標楷體" w:hAnsi="標楷體"/>
              </w:rPr>
            </w:pPr>
            <w:r w:rsidRPr="00964075">
              <w:rPr>
                <w:rFonts w:ascii="標楷體" w:eastAsia="標楷體" w:hAnsi="標楷體" w:hint="eastAsia"/>
                <w:highlight w:val="lightGray"/>
              </w:rPr>
              <w:t>2.</w:t>
            </w:r>
            <w:r w:rsidR="00B20236" w:rsidRPr="00964075">
              <w:rPr>
                <w:rFonts w:ascii="標楷體" w:eastAsia="標楷體" w:hAnsi="標楷體" w:hint="eastAsia"/>
              </w:rPr>
              <w:t>素描</w:t>
            </w:r>
            <w:r w:rsidR="00B20236" w:rsidRPr="00964075">
              <w:rPr>
                <w:rFonts w:ascii="標楷體" w:eastAsia="標楷體" w:hAnsi="標楷體" w:cs="標楷體" w:hint="eastAsia"/>
                <w:color w:val="000000"/>
              </w:rPr>
              <w:t>：以黑色鉛筆將指定立體物件，以線條描繪出來，藉由物件寬度、高度及深度之變化，將物件之形體、結構及立體感表達出來。</w:t>
            </w:r>
          </w:p>
        </w:tc>
      </w:tr>
      <w:tr w:rsidR="007D6AB3" w:rsidRPr="00B20236" w:rsidTr="00907270">
        <w:trPr>
          <w:trHeight w:val="2526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7D6AB3" w:rsidRPr="00B20236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t>術科評量規範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tbl>
            <w:tblPr>
              <w:tblW w:w="86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551"/>
              <w:gridCol w:w="1701"/>
              <w:gridCol w:w="3969"/>
            </w:tblGrid>
            <w:tr w:rsidR="00906D6B" w:rsidRPr="00977A50" w:rsidTr="006D151F">
              <w:trPr>
                <w:trHeight w:val="399"/>
              </w:trPr>
              <w:tc>
                <w:tcPr>
                  <w:tcW w:w="2977" w:type="dxa"/>
                  <w:gridSpan w:val="2"/>
                  <w:shd w:val="clear" w:color="auto" w:fill="D9D9D9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板金科</w:t>
                  </w: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評分項目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計分分數比例</w:t>
                  </w:r>
                </w:p>
              </w:tc>
              <w:tc>
                <w:tcPr>
                  <w:tcW w:w="3969" w:type="dxa"/>
                  <w:shd w:val="clear" w:color="auto" w:fill="D9D9D9"/>
                  <w:vAlign w:val="center"/>
                </w:tcPr>
                <w:p w:rsidR="00906D6B" w:rsidRPr="00906D6B" w:rsidRDefault="00906D6B" w:rsidP="006D151F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評量規準</w:t>
                  </w:r>
                </w:p>
              </w:tc>
            </w:tr>
            <w:tr w:rsidR="00906D6B" w:rsidRPr="00977A50" w:rsidTr="006D151F">
              <w:trPr>
                <w:trHeight w:val="399"/>
              </w:trPr>
              <w:tc>
                <w:tcPr>
                  <w:tcW w:w="426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構圖</w:t>
                  </w:r>
                </w:p>
              </w:tc>
              <w:tc>
                <w:tcPr>
                  <w:tcW w:w="170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30%</w:t>
                  </w:r>
                </w:p>
              </w:tc>
              <w:tc>
                <w:tcPr>
                  <w:tcW w:w="3969" w:type="dxa"/>
                  <w:vAlign w:val="center"/>
                </w:tcPr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5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完全正確30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5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大部分正確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24分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5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部分正確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18分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5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大部分不正確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12分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完全不正確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6分</w:t>
                  </w:r>
                </w:p>
              </w:tc>
            </w:tr>
            <w:tr w:rsidR="00906D6B" w:rsidRPr="00977A50" w:rsidTr="006D151F">
              <w:trPr>
                <w:trHeight w:val="1237"/>
              </w:trPr>
              <w:tc>
                <w:tcPr>
                  <w:tcW w:w="426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技法(線條)</w:t>
                  </w:r>
                </w:p>
              </w:tc>
              <w:tc>
                <w:tcPr>
                  <w:tcW w:w="170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30%</w:t>
                  </w:r>
                </w:p>
              </w:tc>
              <w:tc>
                <w:tcPr>
                  <w:tcW w:w="3969" w:type="dxa"/>
                  <w:vAlign w:val="center"/>
                </w:tcPr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清晰、完整30分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大部分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清晰、完整24分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部分清晰、完整18分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部分不清晰、完整12分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理念說明不清晰、完整6分</w:t>
                  </w:r>
                </w:p>
              </w:tc>
            </w:tr>
            <w:tr w:rsidR="00906D6B" w:rsidRPr="00977A50" w:rsidTr="006D151F">
              <w:trPr>
                <w:trHeight w:val="399"/>
              </w:trPr>
              <w:tc>
                <w:tcPr>
                  <w:tcW w:w="426" w:type="dxa"/>
                  <w:vAlign w:val="center"/>
                </w:tcPr>
                <w:p w:rsidR="00906D6B" w:rsidRPr="00906D6B" w:rsidRDefault="00906D6B" w:rsidP="006D151F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完整度</w:t>
                  </w:r>
                </w:p>
              </w:tc>
              <w:tc>
                <w:tcPr>
                  <w:tcW w:w="1701" w:type="dxa"/>
                  <w:vAlign w:val="center"/>
                </w:tcPr>
                <w:p w:rsidR="00906D6B" w:rsidRPr="00906D6B" w:rsidRDefault="00906D6B" w:rsidP="006D151F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40</w:t>
                  </w: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%</w:t>
                  </w:r>
                </w:p>
              </w:tc>
              <w:tc>
                <w:tcPr>
                  <w:tcW w:w="3969" w:type="dxa"/>
                  <w:vAlign w:val="center"/>
                </w:tcPr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6"/>
                    </w:numPr>
                    <w:ind w:leftChars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完全正確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40分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6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大部分正確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32分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6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部分正確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24分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6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大部分不正確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16分</w:t>
                  </w:r>
                </w:p>
                <w:p w:rsidR="00906D6B" w:rsidRPr="00906D6B" w:rsidRDefault="00906D6B" w:rsidP="00906D6B">
                  <w:pPr>
                    <w:pStyle w:val="a9"/>
                    <w:numPr>
                      <w:ilvl w:val="0"/>
                      <w:numId w:val="6"/>
                    </w:numPr>
                    <w:ind w:leftChars="0" w:left="317" w:hangingChars="132" w:hanging="31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6D6B">
                    <w:rPr>
                      <w:rFonts w:ascii="標楷體" w:eastAsia="標楷體" w:hAnsi="標楷體" w:cs="Times New Roman"/>
                      <w:szCs w:val="24"/>
                    </w:rPr>
                    <w:t>完全不正確</w:t>
                  </w:r>
                  <w:r w:rsidRPr="00906D6B">
                    <w:rPr>
                      <w:rFonts w:ascii="標楷體" w:eastAsia="標楷體" w:hAnsi="標楷體" w:cs="Times New Roman" w:hint="eastAsia"/>
                      <w:szCs w:val="24"/>
                    </w:rPr>
                    <w:t>8分</w:t>
                  </w:r>
                </w:p>
              </w:tc>
            </w:tr>
          </w:tbl>
          <w:p w:rsidR="006A4FEB" w:rsidRPr="00B20236" w:rsidRDefault="006A4FEB">
            <w:pPr>
              <w:rPr>
                <w:rFonts w:ascii="標楷體" w:eastAsia="標楷體" w:hAnsi="標楷體"/>
              </w:rPr>
            </w:pPr>
          </w:p>
        </w:tc>
      </w:tr>
      <w:tr w:rsidR="00D82234" w:rsidRPr="00B20236" w:rsidTr="00907270">
        <w:trPr>
          <w:trHeight w:val="2267"/>
          <w:jc w:val="center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D82234" w:rsidRPr="00B20236" w:rsidRDefault="00D82234" w:rsidP="00230D98">
            <w:pPr>
              <w:jc w:val="center"/>
              <w:rPr>
                <w:rFonts w:ascii="標楷體" w:eastAsia="標楷體" w:hAnsi="標楷體"/>
              </w:rPr>
            </w:pPr>
            <w:r w:rsidRPr="00B20236">
              <w:rPr>
                <w:rFonts w:ascii="標楷體" w:eastAsia="標楷體" w:hAnsi="標楷體" w:hint="eastAsia"/>
              </w:rPr>
              <w:lastRenderedPageBreak/>
              <w:t>術科測驗評分標準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</w:tcBorders>
          </w:tcPr>
          <w:p w:rsidR="006A4FEB" w:rsidRDefault="006A4FEB" w:rsidP="006A4F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1.【</w:t>
            </w:r>
            <w:r w:rsidRPr="00B20236">
              <w:rPr>
                <w:rFonts w:ascii="標楷體" w:eastAsia="標楷體" w:hAnsi="標楷體" w:hint="eastAsia"/>
              </w:rPr>
              <w:t>空間概念三</w:t>
            </w:r>
            <w:r w:rsidR="006A30A3">
              <w:rPr>
                <w:rFonts w:ascii="標楷體" w:eastAsia="標楷體" w:hAnsi="標楷體" w:hint="eastAsia"/>
              </w:rPr>
              <w:t>視</w:t>
            </w:r>
            <w:r w:rsidRPr="00B20236">
              <w:rPr>
                <w:rFonts w:ascii="標楷體" w:eastAsia="標楷體" w:hAnsi="標楷體" w:hint="eastAsia"/>
              </w:rPr>
              <w:t>圖繪製</w:t>
            </w:r>
            <w:r>
              <w:rPr>
                <w:rFonts w:ascii="標楷體" w:eastAsia="標楷體" w:hAnsi="標楷體" w:hint="eastAsia"/>
              </w:rPr>
              <w:t>】</w:t>
            </w:r>
            <w:r w:rsidRPr="00B20236">
              <w:rPr>
                <w:rFonts w:ascii="標楷體" w:eastAsia="標楷體" w:hAnsi="標楷體" w:hint="eastAsia"/>
              </w:rPr>
              <w:t>佔</w:t>
            </w:r>
            <w:r>
              <w:rPr>
                <w:rFonts w:ascii="標楷體" w:eastAsia="標楷體" w:hAnsi="標楷體" w:hint="eastAsia"/>
              </w:rPr>
              <w:t>術科</w:t>
            </w:r>
            <w:r w:rsidRPr="00B20236">
              <w:rPr>
                <w:rFonts w:ascii="標楷體" w:eastAsia="標楷體" w:hAnsi="標楷體" w:hint="eastAsia"/>
              </w:rPr>
              <w:t>總分60%</w:t>
            </w:r>
          </w:p>
          <w:p w:rsidR="006A4FEB" w:rsidRDefault="006A4FEB" w:rsidP="006A4F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(一)共10題，</w:t>
            </w:r>
            <w:r w:rsidR="00907270">
              <w:rPr>
                <w:rFonts w:ascii="標楷體" w:eastAsia="標楷體" w:hAnsi="標楷體" w:hint="eastAsia"/>
              </w:rPr>
              <w:t>每題6個括弧〝( )〞填答，每個括弧〝( )〞1分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A4FEB" w:rsidRDefault="006A4FEB" w:rsidP="006A4F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2.【素描】</w:t>
            </w:r>
            <w:r w:rsidRPr="00B20236">
              <w:rPr>
                <w:rFonts w:ascii="標楷體" w:eastAsia="標楷體" w:hAnsi="標楷體" w:hint="eastAsia"/>
              </w:rPr>
              <w:t>佔</w:t>
            </w:r>
            <w:r>
              <w:rPr>
                <w:rFonts w:ascii="標楷體" w:eastAsia="標楷體" w:hAnsi="標楷體" w:hint="eastAsia"/>
              </w:rPr>
              <w:t>術科</w:t>
            </w:r>
            <w:r w:rsidRPr="00B20236">
              <w:rPr>
                <w:rFonts w:ascii="標楷體" w:eastAsia="標楷體" w:hAnsi="標楷體" w:hint="eastAsia"/>
              </w:rPr>
              <w:t>總分</w:t>
            </w:r>
            <w:r>
              <w:rPr>
                <w:rFonts w:ascii="標楷體" w:eastAsia="標楷體" w:hAnsi="標楷體" w:hint="eastAsia"/>
              </w:rPr>
              <w:t>40</w:t>
            </w:r>
            <w:r w:rsidRPr="00B20236">
              <w:rPr>
                <w:rFonts w:ascii="標楷體" w:eastAsia="標楷體" w:hAnsi="標楷體" w:hint="eastAsia"/>
              </w:rPr>
              <w:t>%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07"/>
              <w:gridCol w:w="2707"/>
              <w:gridCol w:w="2708"/>
            </w:tblGrid>
            <w:tr w:rsidR="006A4FEB" w:rsidTr="006D151F">
              <w:tc>
                <w:tcPr>
                  <w:tcW w:w="2707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構圖</w:t>
                  </w:r>
                </w:p>
              </w:tc>
              <w:tc>
                <w:tcPr>
                  <w:tcW w:w="2707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技法(線條)</w:t>
                  </w:r>
                </w:p>
              </w:tc>
              <w:tc>
                <w:tcPr>
                  <w:tcW w:w="2708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完整度</w:t>
                  </w:r>
                </w:p>
              </w:tc>
            </w:tr>
            <w:tr w:rsidR="006A4FEB" w:rsidTr="006D151F">
              <w:tc>
                <w:tcPr>
                  <w:tcW w:w="2707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30%</w:t>
                  </w:r>
                </w:p>
              </w:tc>
              <w:tc>
                <w:tcPr>
                  <w:tcW w:w="2707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30%</w:t>
                  </w:r>
                </w:p>
              </w:tc>
              <w:tc>
                <w:tcPr>
                  <w:tcW w:w="2708" w:type="dxa"/>
                </w:tcPr>
                <w:p w:rsidR="006A4FEB" w:rsidRDefault="006A4FEB" w:rsidP="006D15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40%</w:t>
                  </w:r>
                </w:p>
              </w:tc>
            </w:tr>
          </w:tbl>
          <w:p w:rsidR="00D82234" w:rsidRPr="00B20236" w:rsidRDefault="00D82234" w:rsidP="00230D98">
            <w:pPr>
              <w:rPr>
                <w:rFonts w:ascii="標楷體" w:eastAsia="標楷體" w:hAnsi="標楷體"/>
              </w:rPr>
            </w:pPr>
          </w:p>
        </w:tc>
      </w:tr>
    </w:tbl>
    <w:p w:rsidR="0058100D" w:rsidRPr="005355C2" w:rsidRDefault="0058100D" w:rsidP="005355C2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58100D" w:rsidRPr="005355C2" w:rsidSect="00F836B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69" w:rsidRDefault="00DC2069" w:rsidP="00251DE5">
      <w:r>
        <w:separator/>
      </w:r>
    </w:p>
  </w:endnote>
  <w:endnote w:type="continuationSeparator" w:id="0">
    <w:p w:rsidR="00DC2069" w:rsidRDefault="00DC2069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69" w:rsidRDefault="00DC2069" w:rsidP="00251DE5">
      <w:r>
        <w:separator/>
      </w:r>
    </w:p>
  </w:footnote>
  <w:footnote w:type="continuationSeparator" w:id="0">
    <w:p w:rsidR="00DC2069" w:rsidRDefault="00DC2069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F60"/>
    <w:multiLevelType w:val="hybridMultilevel"/>
    <w:tmpl w:val="1F8CC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276B5"/>
    <w:multiLevelType w:val="hybridMultilevel"/>
    <w:tmpl w:val="A5C02202"/>
    <w:lvl w:ilvl="0" w:tplc="7D7EB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7D1696"/>
    <w:multiLevelType w:val="hybridMultilevel"/>
    <w:tmpl w:val="51BC3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C61ABE"/>
    <w:multiLevelType w:val="hybridMultilevel"/>
    <w:tmpl w:val="51BC3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CF675F"/>
    <w:multiLevelType w:val="hybridMultilevel"/>
    <w:tmpl w:val="D91EF9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6A49EA"/>
    <w:multiLevelType w:val="hybridMultilevel"/>
    <w:tmpl w:val="190C4A6A"/>
    <w:lvl w:ilvl="0" w:tplc="E1982BC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2C45021"/>
    <w:multiLevelType w:val="hybridMultilevel"/>
    <w:tmpl w:val="8DBCEBEC"/>
    <w:lvl w:ilvl="0" w:tplc="1E40D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085F13"/>
    <w:rsid w:val="00093BA5"/>
    <w:rsid w:val="000D46E2"/>
    <w:rsid w:val="0014003A"/>
    <w:rsid w:val="00191411"/>
    <w:rsid w:val="001E3937"/>
    <w:rsid w:val="001F6D48"/>
    <w:rsid w:val="00232C0E"/>
    <w:rsid w:val="00251DE5"/>
    <w:rsid w:val="0027306E"/>
    <w:rsid w:val="00281BE1"/>
    <w:rsid w:val="002A54D8"/>
    <w:rsid w:val="00357C54"/>
    <w:rsid w:val="00373464"/>
    <w:rsid w:val="003A73FF"/>
    <w:rsid w:val="003C25B5"/>
    <w:rsid w:val="004B7F84"/>
    <w:rsid w:val="005355C2"/>
    <w:rsid w:val="0058100D"/>
    <w:rsid w:val="00590D2D"/>
    <w:rsid w:val="0066172A"/>
    <w:rsid w:val="006A30A3"/>
    <w:rsid w:val="006A4FEB"/>
    <w:rsid w:val="006A5EC7"/>
    <w:rsid w:val="006D6E97"/>
    <w:rsid w:val="007B1306"/>
    <w:rsid w:val="007D6AB3"/>
    <w:rsid w:val="007F0E98"/>
    <w:rsid w:val="0088415B"/>
    <w:rsid w:val="00890E29"/>
    <w:rsid w:val="008A2C5C"/>
    <w:rsid w:val="00906D6B"/>
    <w:rsid w:val="00907270"/>
    <w:rsid w:val="00911609"/>
    <w:rsid w:val="00916674"/>
    <w:rsid w:val="00964075"/>
    <w:rsid w:val="00985E07"/>
    <w:rsid w:val="009B4F63"/>
    <w:rsid w:val="009E2B62"/>
    <w:rsid w:val="00B20236"/>
    <w:rsid w:val="00B71330"/>
    <w:rsid w:val="00BB0E04"/>
    <w:rsid w:val="00BB7C07"/>
    <w:rsid w:val="00BF1EF6"/>
    <w:rsid w:val="00CC61B7"/>
    <w:rsid w:val="00D45642"/>
    <w:rsid w:val="00D82234"/>
    <w:rsid w:val="00DC067A"/>
    <w:rsid w:val="00DC2069"/>
    <w:rsid w:val="00E27751"/>
    <w:rsid w:val="00E70F8D"/>
    <w:rsid w:val="00E82102"/>
    <w:rsid w:val="00F311C3"/>
    <w:rsid w:val="00F71DCF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58100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C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2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58100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C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2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A384-0089-4785-883A-2C22F814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YAYA</cp:lastModifiedBy>
  <cp:revision>3</cp:revision>
  <cp:lastPrinted>2014-12-24T01:47:00Z</cp:lastPrinted>
  <dcterms:created xsi:type="dcterms:W3CDTF">2015-01-08T05:28:00Z</dcterms:created>
  <dcterms:modified xsi:type="dcterms:W3CDTF">2015-01-26T09:33:00Z</dcterms:modified>
</cp:coreProperties>
</file>