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FD" w:rsidRPr="00941142" w:rsidRDefault="00DB0D57" w:rsidP="001950DA">
      <w:pPr>
        <w:jc w:val="center"/>
        <w:rPr>
          <w:rFonts w:eastAsia="標楷體"/>
          <w:b/>
          <w:sz w:val="30"/>
          <w:szCs w:val="30"/>
        </w:rPr>
      </w:pPr>
      <w:r w:rsidRPr="00941142">
        <w:rPr>
          <w:rFonts w:eastAsia="標楷體"/>
          <w:b/>
          <w:sz w:val="30"/>
          <w:szCs w:val="30"/>
        </w:rPr>
        <w:t>106</w:t>
      </w:r>
      <w:r w:rsidRPr="00941142">
        <w:rPr>
          <w:rFonts w:eastAsia="標楷體"/>
          <w:b/>
          <w:sz w:val="30"/>
          <w:szCs w:val="30"/>
        </w:rPr>
        <w:t>學年度第</w:t>
      </w:r>
      <w:r w:rsidRPr="00941142">
        <w:rPr>
          <w:rFonts w:eastAsia="標楷體"/>
          <w:b/>
          <w:sz w:val="30"/>
          <w:szCs w:val="30"/>
        </w:rPr>
        <w:t>1</w:t>
      </w:r>
      <w:r w:rsidRPr="00941142">
        <w:rPr>
          <w:rFonts w:eastAsia="標楷體"/>
          <w:b/>
          <w:sz w:val="30"/>
          <w:szCs w:val="30"/>
        </w:rPr>
        <w:t>學期親師座談會家長對校務</w:t>
      </w:r>
      <w:r w:rsidR="001950DA">
        <w:rPr>
          <w:rFonts w:eastAsia="標楷體" w:hint="eastAsia"/>
          <w:b/>
          <w:sz w:val="30"/>
          <w:szCs w:val="30"/>
        </w:rPr>
        <w:t>之</w:t>
      </w:r>
      <w:r w:rsidRPr="00941142">
        <w:rPr>
          <w:rFonts w:eastAsia="標楷體"/>
          <w:b/>
          <w:sz w:val="30"/>
          <w:szCs w:val="30"/>
        </w:rPr>
        <w:t>建</w:t>
      </w:r>
      <w:r w:rsidR="001950DA">
        <w:rPr>
          <w:rFonts w:eastAsia="標楷體" w:hint="eastAsia"/>
          <w:b/>
          <w:sz w:val="30"/>
          <w:szCs w:val="30"/>
        </w:rPr>
        <w:t>言及業務承辦單位之回覆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485"/>
        <w:gridCol w:w="4479"/>
      </w:tblGrid>
      <w:tr w:rsidR="00E836E6" w:rsidTr="00E836E6">
        <w:trPr>
          <w:trHeight w:val="411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ED35ED">
              <w:rPr>
                <w:rFonts w:eastAsia="標楷體" w:hint="eastAsia"/>
                <w:b/>
                <w:szCs w:val="24"/>
              </w:rPr>
              <w:t>班級</w:t>
            </w:r>
          </w:p>
        </w:tc>
        <w:tc>
          <w:tcPr>
            <w:tcW w:w="44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ED35ED">
              <w:rPr>
                <w:rFonts w:eastAsia="標楷體" w:hint="eastAsia"/>
                <w:b/>
                <w:szCs w:val="24"/>
              </w:rPr>
              <w:t>校務建言</w:t>
            </w:r>
          </w:p>
        </w:tc>
        <w:tc>
          <w:tcPr>
            <w:tcW w:w="44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ED35ED" w:rsidRDefault="00E836E6" w:rsidP="00137A88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業務承辦單位回覆</w:t>
            </w:r>
          </w:p>
        </w:tc>
      </w:tr>
      <w:tr w:rsidR="00E836E6" w:rsidRPr="00ED35ED" w:rsidTr="00E836E6">
        <w:trPr>
          <w:trHeight w:val="7020"/>
        </w:trPr>
        <w:tc>
          <w:tcPr>
            <w:tcW w:w="817" w:type="dxa"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101</w:t>
            </w: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jc w:val="both"/>
              <w:rPr>
                <w:rFonts w:eastAsia="標楷體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若有對外比賽</w:t>
            </w:r>
            <w:r w:rsidRPr="00ED35ED">
              <w:rPr>
                <w:rFonts w:ascii="標楷體" w:eastAsia="標楷體" w:hAnsi="標楷體" w:hint="eastAsia"/>
                <w:szCs w:val="24"/>
              </w:rPr>
              <w:t>，</w:t>
            </w:r>
            <w:r w:rsidRPr="00ED35ED">
              <w:rPr>
                <w:rFonts w:eastAsia="標楷體" w:hint="eastAsia"/>
                <w:szCs w:val="24"/>
              </w:rPr>
              <w:t>訊息公告</w:t>
            </w:r>
            <w:r w:rsidRPr="00ED35ED">
              <w:rPr>
                <w:rFonts w:ascii="標楷體" w:eastAsia="標楷體" w:hAnsi="標楷體" w:hint="eastAsia"/>
                <w:szCs w:val="24"/>
              </w:rPr>
              <w:t>，</w:t>
            </w:r>
            <w:r w:rsidRPr="00ED35ED">
              <w:rPr>
                <w:rFonts w:eastAsia="標楷體" w:hint="eastAsia"/>
                <w:szCs w:val="24"/>
              </w:rPr>
              <w:t>讓有興趣的同學自由報名參加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ED35ED">
            <w:pPr>
              <w:jc w:val="both"/>
              <w:rPr>
                <w:rFonts w:eastAsia="標楷體"/>
                <w:color w:val="FF0000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FF0000"/>
                <w:szCs w:val="24"/>
                <w:bdr w:val="single" w:sz="4" w:space="0" w:color="auto"/>
              </w:rPr>
              <w:t>教務處</w:t>
            </w:r>
          </w:p>
          <w:p w:rsidR="00E836E6" w:rsidRPr="007E61E5" w:rsidRDefault="00E836E6" w:rsidP="00ED35ED">
            <w:pPr>
              <w:jc w:val="both"/>
              <w:rPr>
                <w:sz w:val="20"/>
                <w:szCs w:val="20"/>
              </w:rPr>
            </w:pPr>
            <w:r w:rsidRPr="007E61E5">
              <w:rPr>
                <w:rFonts w:hint="eastAsia"/>
                <w:sz w:val="20"/>
                <w:szCs w:val="20"/>
              </w:rPr>
              <w:t>需考量競賽的性質，並非所有的競賽都可以讓學生自由報名，如：本國語文競賽、英語文競賽依規定需經校內先行選拔。若是可讓學生自由報名的競賽</w:t>
            </w:r>
            <w:r w:rsidRPr="007E61E5">
              <w:rPr>
                <w:rFonts w:hint="eastAsia"/>
                <w:sz w:val="20"/>
                <w:szCs w:val="20"/>
              </w:rPr>
              <w:t>(</w:t>
            </w:r>
            <w:r w:rsidRPr="007E61E5">
              <w:rPr>
                <w:rFonts w:hint="eastAsia"/>
                <w:sz w:val="20"/>
                <w:szCs w:val="20"/>
              </w:rPr>
              <w:t>如：魔法語花一頁書、數學競賽</w:t>
            </w:r>
            <w:r w:rsidRPr="007E61E5">
              <w:rPr>
                <w:rFonts w:hint="eastAsia"/>
                <w:sz w:val="20"/>
                <w:szCs w:val="20"/>
              </w:rPr>
              <w:t>)</w:t>
            </w:r>
            <w:r w:rsidRPr="007E61E5">
              <w:rPr>
                <w:rFonts w:hint="eastAsia"/>
                <w:sz w:val="20"/>
                <w:szCs w:val="20"/>
              </w:rPr>
              <w:t>，教務處則會利用適當的管道</w:t>
            </w:r>
            <w:r w:rsidRPr="007E61E5">
              <w:rPr>
                <w:rFonts w:hint="eastAsia"/>
                <w:sz w:val="20"/>
                <w:szCs w:val="20"/>
              </w:rPr>
              <w:t>(</w:t>
            </w:r>
            <w:r w:rsidRPr="007E61E5">
              <w:rPr>
                <w:rFonts w:hint="eastAsia"/>
                <w:sz w:val="20"/>
                <w:szCs w:val="20"/>
              </w:rPr>
              <w:t>如：升旗集會、任課教師</w:t>
            </w:r>
            <w:r w:rsidRPr="007E61E5">
              <w:rPr>
                <w:rFonts w:hint="eastAsia"/>
                <w:sz w:val="20"/>
                <w:szCs w:val="20"/>
              </w:rPr>
              <w:t>)</w:t>
            </w:r>
            <w:r w:rsidRPr="007E61E5">
              <w:rPr>
                <w:rFonts w:hint="eastAsia"/>
                <w:sz w:val="20"/>
                <w:szCs w:val="20"/>
              </w:rPr>
              <w:t>宣傳。</w:t>
            </w:r>
            <w:proofErr w:type="gramStart"/>
            <w:r w:rsidRPr="007E61E5">
              <w:rPr>
                <w:rFonts w:hint="eastAsia"/>
                <w:sz w:val="20"/>
                <w:szCs w:val="20"/>
              </w:rPr>
              <w:t>此外，</w:t>
            </w:r>
            <w:proofErr w:type="gramEnd"/>
            <w:r w:rsidRPr="007E61E5">
              <w:rPr>
                <w:rFonts w:hint="eastAsia"/>
                <w:sz w:val="20"/>
                <w:szCs w:val="20"/>
              </w:rPr>
              <w:t>教務處承辦之相關</w:t>
            </w:r>
            <w:proofErr w:type="gramStart"/>
            <w:r w:rsidRPr="007E61E5">
              <w:rPr>
                <w:rFonts w:hint="eastAsia"/>
                <w:sz w:val="20"/>
                <w:szCs w:val="20"/>
              </w:rPr>
              <w:t>競賽均會列</w:t>
            </w:r>
            <w:proofErr w:type="gramEnd"/>
            <w:r w:rsidRPr="007E61E5">
              <w:rPr>
                <w:rFonts w:hint="eastAsia"/>
                <w:sz w:val="20"/>
                <w:szCs w:val="20"/>
              </w:rPr>
              <w:t>在本校行事曆中，學生、家長均可於學期初得知。</w:t>
            </w:r>
          </w:p>
          <w:p w:rsidR="00E836E6" w:rsidRPr="00CC7C02" w:rsidRDefault="00E836E6" w:rsidP="007E61E5">
            <w:pPr>
              <w:jc w:val="both"/>
              <w:rPr>
                <w:rFonts w:eastAsia="標楷體"/>
                <w:color w:val="0000FF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學</w:t>
            </w:r>
            <w:proofErr w:type="gramStart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務</w:t>
            </w:r>
            <w:proofErr w:type="gramEnd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處</w:t>
            </w:r>
          </w:p>
          <w:p w:rsidR="00E836E6" w:rsidRPr="00231E5B" w:rsidRDefault="00E836E6" w:rsidP="00ED35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若有對外比賽，學校會將訊息公告於學校網頁，家長和同學可多留意，有興趣的同學可向老師詢問並自由報名參加。</w:t>
            </w:r>
          </w:p>
          <w:p w:rsidR="00E836E6" w:rsidRPr="00CC7C02" w:rsidRDefault="00E836E6" w:rsidP="007E61E5">
            <w:pPr>
              <w:jc w:val="both"/>
              <w:rPr>
                <w:rFonts w:eastAsia="標楷體"/>
                <w:color w:val="7030A0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7030A0"/>
                <w:szCs w:val="24"/>
                <w:bdr w:val="single" w:sz="4" w:space="0" w:color="auto"/>
              </w:rPr>
              <w:t>輔導室</w:t>
            </w:r>
          </w:p>
          <w:p w:rsidR="00E836E6" w:rsidRPr="00ED35ED" w:rsidRDefault="00E836E6" w:rsidP="0083561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凡</w:t>
            </w:r>
            <w:proofErr w:type="gramStart"/>
            <w:r>
              <w:rPr>
                <w:rFonts w:hint="eastAsia"/>
                <w:sz w:val="20"/>
                <w:szCs w:val="20"/>
              </w:rPr>
              <w:t>攸</w:t>
            </w:r>
            <w:proofErr w:type="gramEnd"/>
            <w:r>
              <w:rPr>
                <w:rFonts w:hint="eastAsia"/>
                <w:sz w:val="20"/>
                <w:szCs w:val="20"/>
              </w:rPr>
              <w:t>關學生權益之競賽或活動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如家庭教育主題創作</w:t>
            </w:r>
            <w:r w:rsidRPr="00DD22FF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生命教育推廣活動等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DD22FF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輔導室都會將相關訊息以紙本方式發放至各班導師</w:t>
            </w:r>
            <w:r w:rsidRPr="00DD22FF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會請導師協助及鼓勵班上學生參加</w:t>
            </w:r>
            <w:r w:rsidRPr="00DD22FF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並同步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於校網公告</w:t>
            </w:r>
            <w:proofErr w:type="gramEnd"/>
            <w:r w:rsidRPr="00DD22FF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俾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利家長知悉</w:t>
            </w:r>
            <w:r w:rsidRPr="0083561D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此外</w:t>
            </w:r>
            <w:r w:rsidRPr="0083561D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亦會考量比賽性質及內容</w:t>
            </w:r>
            <w:r w:rsidRPr="0083561D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會請各班任課教師適當融入課程</w:t>
            </w:r>
            <w:r w:rsidRPr="0083561D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協助推廣辦理</w:t>
            </w:r>
            <w:r w:rsidRPr="0083561D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E836E6" w:rsidRPr="00ED35ED" w:rsidTr="00E836E6">
        <w:trPr>
          <w:trHeight w:val="1624"/>
        </w:trPr>
        <w:tc>
          <w:tcPr>
            <w:tcW w:w="817" w:type="dxa"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102</w:t>
            </w: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jc w:val="both"/>
              <w:rPr>
                <w:rFonts w:eastAsia="標楷體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是否可讓路程較遠的孩子騎電動腳踏車到校</w:t>
            </w:r>
            <w:r w:rsidRPr="00ED35ED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0000FF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學</w:t>
            </w:r>
            <w:proofErr w:type="gramStart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務</w:t>
            </w:r>
            <w:proofErr w:type="gramEnd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處</w:t>
            </w:r>
          </w:p>
          <w:p w:rsidR="00E836E6" w:rsidRPr="00231E5B" w:rsidRDefault="00E836E6" w:rsidP="00137A88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若家長覺得孩子上放學路程較遠，孩子有騎電動腳踏車的需求，可電洽學</w:t>
            </w:r>
            <w:proofErr w:type="gramStart"/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務</w:t>
            </w:r>
            <w:proofErr w:type="gramEnd"/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處，相關規定再告知家長。</w:t>
            </w:r>
          </w:p>
        </w:tc>
      </w:tr>
      <w:tr w:rsidR="00E836E6" w:rsidRPr="00ED35ED" w:rsidTr="00E836E6">
        <w:trPr>
          <w:trHeight w:val="1932"/>
        </w:trPr>
        <w:tc>
          <w:tcPr>
            <w:tcW w:w="817" w:type="dxa"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103</w:t>
            </w: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jc w:val="both"/>
              <w:rPr>
                <w:rFonts w:eastAsia="標楷體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腳踏車停在</w:t>
            </w:r>
            <w:r w:rsidRPr="00ED35ED">
              <w:rPr>
                <w:rFonts w:eastAsia="標楷體" w:hint="eastAsia"/>
                <w:szCs w:val="24"/>
              </w:rPr>
              <w:t>7-11</w:t>
            </w:r>
            <w:r w:rsidRPr="00ED35ED">
              <w:rPr>
                <w:rFonts w:eastAsia="標楷體" w:hint="eastAsia"/>
                <w:szCs w:val="24"/>
              </w:rPr>
              <w:t>會被破壞</w:t>
            </w:r>
            <w:r w:rsidRPr="00ED35ED">
              <w:rPr>
                <w:rFonts w:ascii="標楷體" w:eastAsia="標楷體" w:hAnsi="標楷體" w:hint="eastAsia"/>
                <w:szCs w:val="24"/>
              </w:rPr>
              <w:t>，</w:t>
            </w:r>
            <w:r w:rsidRPr="00ED35ED">
              <w:rPr>
                <w:rFonts w:eastAsia="標楷體" w:hint="eastAsia"/>
                <w:szCs w:val="24"/>
              </w:rPr>
              <w:t>請學校管理學生腳踏車務必停在學校車棚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836E6" w:rsidRPr="00ED35ED" w:rsidRDefault="00E836E6" w:rsidP="00ED35ED">
            <w:pPr>
              <w:jc w:val="both"/>
              <w:rPr>
                <w:rFonts w:eastAsia="標楷體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(</w:t>
            </w:r>
            <w:r w:rsidRPr="00ED35ED">
              <w:rPr>
                <w:rFonts w:eastAsia="標楷體" w:hint="eastAsia"/>
                <w:szCs w:val="24"/>
              </w:rPr>
              <w:t>導師回應</w:t>
            </w:r>
            <w:r w:rsidRPr="00ED35ED">
              <w:rPr>
                <w:rFonts w:ascii="標楷體" w:eastAsia="標楷體" w:hAnsi="標楷體" w:hint="eastAsia"/>
                <w:szCs w:val="24"/>
              </w:rPr>
              <w:t>：</w:t>
            </w:r>
            <w:r w:rsidRPr="00ED35ED">
              <w:rPr>
                <w:rFonts w:eastAsia="標楷體" w:hint="eastAsia"/>
                <w:szCs w:val="24"/>
              </w:rPr>
              <w:t>學校目前重點管理也是</w:t>
            </w:r>
            <w:r w:rsidRPr="00ED35ED">
              <w:rPr>
                <w:rFonts w:eastAsia="標楷體" w:hint="eastAsia"/>
                <w:szCs w:val="24"/>
              </w:rPr>
              <w:t>7-11</w:t>
            </w:r>
            <w:r w:rsidRPr="00ED35ED">
              <w:rPr>
                <w:rFonts w:eastAsia="標楷體" w:hint="eastAsia"/>
                <w:szCs w:val="24"/>
              </w:rPr>
              <w:t>前的腳踏車</w:t>
            </w:r>
            <w:r w:rsidRPr="00ED35ED">
              <w:rPr>
                <w:rFonts w:ascii="標楷體" w:eastAsia="標楷體" w:hAnsi="標楷體" w:hint="eastAsia"/>
                <w:szCs w:val="24"/>
              </w:rPr>
              <w:t>，</w:t>
            </w:r>
            <w:r w:rsidRPr="00ED35ED">
              <w:rPr>
                <w:rFonts w:eastAsia="標楷體" w:hint="eastAsia"/>
                <w:szCs w:val="24"/>
              </w:rPr>
              <w:t>升旗</w:t>
            </w:r>
            <w:proofErr w:type="gramStart"/>
            <w:r w:rsidRPr="00ED35ED">
              <w:rPr>
                <w:rFonts w:eastAsia="標楷體" w:hint="eastAsia"/>
                <w:szCs w:val="24"/>
              </w:rPr>
              <w:t>也有宣達</w:t>
            </w:r>
            <w:proofErr w:type="gramEnd"/>
            <w:r w:rsidRPr="00ED35ED">
              <w:rPr>
                <w:rFonts w:ascii="標楷體" w:eastAsia="標楷體" w:hAnsi="標楷體" w:hint="eastAsia"/>
                <w:szCs w:val="24"/>
              </w:rPr>
              <w:t>，</w:t>
            </w:r>
            <w:r w:rsidRPr="00ED35ED">
              <w:rPr>
                <w:rFonts w:eastAsia="標楷體" w:hint="eastAsia"/>
                <w:szCs w:val="24"/>
              </w:rPr>
              <w:t>更有學</w:t>
            </w:r>
            <w:proofErr w:type="gramStart"/>
            <w:r w:rsidRPr="00ED35ED">
              <w:rPr>
                <w:rFonts w:eastAsia="標楷體" w:hint="eastAsia"/>
                <w:szCs w:val="24"/>
              </w:rPr>
              <w:t>務</w:t>
            </w:r>
            <w:proofErr w:type="gramEnd"/>
            <w:r w:rsidRPr="00ED35ED">
              <w:rPr>
                <w:rFonts w:eastAsia="標楷體" w:hint="eastAsia"/>
                <w:szCs w:val="24"/>
              </w:rPr>
              <w:t>人員或糾察隊在</w:t>
            </w:r>
            <w:r w:rsidRPr="00ED35ED">
              <w:rPr>
                <w:rFonts w:eastAsia="標楷體" w:hint="eastAsia"/>
                <w:szCs w:val="24"/>
              </w:rPr>
              <w:t>7-11</w:t>
            </w:r>
            <w:r w:rsidRPr="00ED35ED">
              <w:rPr>
                <w:rFonts w:eastAsia="標楷體" w:hint="eastAsia"/>
                <w:szCs w:val="24"/>
              </w:rPr>
              <w:t>監看狀況</w:t>
            </w:r>
            <w:r w:rsidRPr="00ED35E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0000FF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學</w:t>
            </w:r>
            <w:proofErr w:type="gramStart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務</w:t>
            </w:r>
            <w:proofErr w:type="gramEnd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處</w:t>
            </w:r>
          </w:p>
          <w:p w:rsidR="00E836E6" w:rsidRPr="00231E5B" w:rsidRDefault="00E836E6" w:rsidP="00ED35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學</w:t>
            </w:r>
            <w:proofErr w:type="gramStart"/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務</w:t>
            </w:r>
            <w:proofErr w:type="gramEnd"/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處多次宣導腳踏車不要停在7-11，並不定時有老師或志工家長會加以巡視，管理學生腳踏車務必停在學校車棚。</w:t>
            </w:r>
          </w:p>
        </w:tc>
      </w:tr>
      <w:tr w:rsidR="00E836E6" w:rsidRPr="00ED35ED" w:rsidTr="00E836E6">
        <w:trPr>
          <w:trHeight w:val="1583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104</w:t>
            </w: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jc w:val="both"/>
              <w:rPr>
                <w:rFonts w:eastAsia="標楷體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制服的材質不耐穿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0000FF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學</w:t>
            </w:r>
            <w:proofErr w:type="gramStart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務</w:t>
            </w:r>
            <w:proofErr w:type="gramEnd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處</w:t>
            </w:r>
          </w:p>
          <w:p w:rsidR="00E836E6" w:rsidRPr="00231E5B" w:rsidRDefault="00E836E6" w:rsidP="00CC7C02">
            <w:pPr>
              <w:widowControl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制服布料規格棉60</w:t>
            </w:r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％、</w:t>
            </w:r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特多龍40</w:t>
            </w:r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％、紗支</w:t>
            </w:r>
            <w:proofErr w:type="gramStart"/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45支單股</w:t>
            </w:r>
            <w:proofErr w:type="gramEnd"/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(136根</w:t>
            </w:r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x72根</w:t>
            </w:r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)，皆依教育部相關規定辦理採購，儘量兼顧品質和舒適。</w:t>
            </w:r>
          </w:p>
        </w:tc>
      </w:tr>
      <w:tr w:rsidR="00E836E6" w:rsidRPr="00ED35ED" w:rsidTr="00E836E6">
        <w:trPr>
          <w:trHeight w:val="1527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廁所的完工日期可否如期</w:t>
            </w:r>
            <w:r w:rsidRPr="00ED35ED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009900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009900"/>
                <w:szCs w:val="24"/>
                <w:bdr w:val="single" w:sz="4" w:space="0" w:color="auto"/>
              </w:rPr>
              <w:t>總務處</w:t>
            </w:r>
          </w:p>
          <w:p w:rsidR="00E836E6" w:rsidRPr="00CC7C02" w:rsidRDefault="00E836E6" w:rsidP="00CC7C02">
            <w:pPr>
              <w:widowControl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7C02">
              <w:rPr>
                <w:rFonts w:asciiTheme="majorEastAsia" w:eastAsiaTheme="majorEastAsia" w:hAnsiTheme="majorEastAsia" w:hint="eastAsia"/>
                <w:sz w:val="20"/>
                <w:szCs w:val="20"/>
              </w:rPr>
              <w:t>力行樓廁所整建工程，目前進度控制良好，應可於11月中旬竣工。</w:t>
            </w:r>
          </w:p>
        </w:tc>
      </w:tr>
      <w:tr w:rsidR="00E836E6" w:rsidRPr="00ED35ED" w:rsidTr="00E836E6">
        <w:trPr>
          <w:trHeight w:hRule="exact" w:val="2397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jc w:val="both"/>
              <w:rPr>
                <w:rFonts w:eastAsia="標楷體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飲水機可否每層樓都設置</w:t>
            </w:r>
            <w:r w:rsidRPr="00ED35ED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009900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009900"/>
                <w:szCs w:val="24"/>
                <w:bdr w:val="single" w:sz="4" w:space="0" w:color="auto"/>
              </w:rPr>
              <w:t>總務處</w:t>
            </w:r>
          </w:p>
          <w:p w:rsidR="00E836E6" w:rsidRPr="00CC7C02" w:rsidRDefault="00E836E6" w:rsidP="00174677">
            <w:pPr>
              <w:widowControl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7C02">
              <w:rPr>
                <w:rFonts w:asciiTheme="majorEastAsia" w:eastAsiaTheme="majorEastAsia" w:hAnsiTheme="majorEastAsia" w:hint="eastAsia"/>
                <w:sz w:val="20"/>
                <w:szCs w:val="20"/>
              </w:rPr>
              <w:t>目前全校有10台飲水機，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尚</w:t>
            </w:r>
            <w:r w:rsidRPr="00CC7C02">
              <w:rPr>
                <w:rFonts w:asciiTheme="majorEastAsia" w:eastAsiaTheme="majorEastAsia" w:hAnsiTheme="majorEastAsia" w:hint="eastAsia"/>
                <w:sz w:val="20"/>
                <w:szCs w:val="20"/>
              </w:rPr>
              <w:t>足以提供師生飲用水需求，唯考量師生使用習慣不同，</w:t>
            </w:r>
            <w:r w:rsidRPr="001950D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目前已規劃先於莘學樓及育樂堂一</w:t>
            </w:r>
            <w:proofErr w:type="gramStart"/>
            <w:r w:rsidRPr="001950D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樓增設</w:t>
            </w:r>
            <w:proofErr w:type="gramEnd"/>
            <w:r w:rsidRPr="001950D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兩台飲水機，分散人潮，會再視需求狀況評估增設的可能性</w:t>
            </w:r>
          </w:p>
        </w:tc>
      </w:tr>
      <w:tr w:rsidR="00E836E6" w:rsidRPr="00ED35ED" w:rsidTr="00E836E6">
        <w:trPr>
          <w:trHeight w:val="3525"/>
        </w:trPr>
        <w:tc>
          <w:tcPr>
            <w:tcW w:w="817" w:type="dxa"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105</w:t>
            </w: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建議技藝學程跟</w:t>
            </w:r>
            <w:proofErr w:type="gramStart"/>
            <w:r w:rsidRPr="00ED35ED">
              <w:rPr>
                <w:rFonts w:eastAsia="標楷體" w:hint="eastAsia"/>
                <w:szCs w:val="24"/>
              </w:rPr>
              <w:t>臺</w:t>
            </w:r>
            <w:proofErr w:type="gramEnd"/>
            <w:r w:rsidRPr="00ED35ED">
              <w:rPr>
                <w:rFonts w:eastAsia="標楷體" w:hint="eastAsia"/>
                <w:szCs w:val="24"/>
              </w:rPr>
              <w:t>南高工合作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7030A0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7030A0"/>
                <w:szCs w:val="24"/>
                <w:bdr w:val="single" w:sz="4" w:space="0" w:color="auto"/>
              </w:rPr>
              <w:t>輔導室</w:t>
            </w:r>
          </w:p>
          <w:p w:rsidR="00E836E6" w:rsidRPr="00CC35F4" w:rsidRDefault="00E836E6" w:rsidP="00B815EC">
            <w:pPr>
              <w:jc w:val="both"/>
              <w:rPr>
                <w:rFonts w:eastAsiaTheme="majorEastAsia" w:cstheme="minorHAnsi"/>
                <w:sz w:val="20"/>
                <w:szCs w:val="20"/>
              </w:rPr>
            </w:pPr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本校</w:t>
            </w:r>
            <w:proofErr w:type="gramStart"/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三</w:t>
            </w:r>
            <w:proofErr w:type="gramEnd"/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年級</w:t>
            </w:r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技藝教育課程目前開辦</w:t>
            </w:r>
            <w:r w:rsidRPr="00CC35F4">
              <w:rPr>
                <w:rFonts w:eastAsiaTheme="majorEastAsia" w:cstheme="minorHAnsi"/>
                <w:sz w:val="20"/>
                <w:szCs w:val="20"/>
              </w:rPr>
              <w:t>2</w:t>
            </w:r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班合作式班級，</w:t>
            </w:r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合作學校為</w:t>
            </w:r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陽明工商，</w:t>
            </w:r>
            <w:proofErr w:type="gramStart"/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課程職群為</w:t>
            </w:r>
            <w:proofErr w:type="gramEnd"/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動力機械與電機電子。</w:t>
            </w:r>
          </w:p>
          <w:p w:rsidR="00E836E6" w:rsidRPr="00B815EC" w:rsidRDefault="00E836E6" w:rsidP="00CC35F4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鑒於與</w:t>
            </w:r>
            <w:proofErr w:type="gramStart"/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臺</w:t>
            </w:r>
            <w:proofErr w:type="gramEnd"/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南高工合作之建議，經</w:t>
            </w:r>
            <w:r w:rsidRPr="00CC35F4">
              <w:rPr>
                <w:rFonts w:eastAsiaTheme="majorEastAsia" w:cstheme="minorHAnsi"/>
                <w:sz w:val="20"/>
                <w:szCs w:val="20"/>
              </w:rPr>
              <w:t>106.10.24(</w:t>
            </w:r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二</w:t>
            </w:r>
            <w:r w:rsidRPr="00CC35F4">
              <w:rPr>
                <w:rFonts w:eastAsiaTheme="majorEastAsia" w:cstheme="minorHAnsi"/>
                <w:sz w:val="20"/>
                <w:szCs w:val="20"/>
              </w:rPr>
              <w:t>)</w:t>
            </w:r>
            <w:r w:rsidRPr="00CC35F4">
              <w:rPr>
                <w:rFonts w:eastAsiaTheme="majorEastAsia" w:hAnsiTheme="majorEastAsia" w:cstheme="minorHAnsi"/>
                <w:sz w:val="20"/>
                <w:szCs w:val="20"/>
              </w:rPr>
              <w:t>與承辦組長聯繫，因經費預算及學生學習時間考量，</w:t>
            </w:r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將此方案列作國二學生職</w:t>
            </w:r>
            <w:proofErr w:type="gramStart"/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涯</w:t>
            </w:r>
            <w:proofErr w:type="gramEnd"/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試探或國三學生職</w:t>
            </w:r>
            <w:proofErr w:type="gramStart"/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涯</w:t>
            </w:r>
            <w:proofErr w:type="gramEnd"/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體驗一日或半日課程較為可行</w:t>
            </w:r>
            <w:r w:rsidRPr="00CC35F4"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  <w:t>未來輔導室亦會朝此方向規劃辦理</w:t>
            </w:r>
            <w:r w:rsidRPr="00CC35F4"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  <w:t>。</w:t>
            </w:r>
          </w:p>
        </w:tc>
      </w:tr>
      <w:tr w:rsidR="00E836E6" w:rsidRPr="00ED35ED" w:rsidTr="00E836E6">
        <w:trPr>
          <w:trHeight w:val="1723"/>
        </w:trPr>
        <w:tc>
          <w:tcPr>
            <w:tcW w:w="817" w:type="dxa"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107</w:t>
            </w: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jc w:val="both"/>
              <w:rPr>
                <w:rFonts w:eastAsia="標楷體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家長詢問合作社販賣的物品是否有檢驗機制</w:t>
            </w:r>
            <w:r w:rsidRPr="00ED35ED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FFC000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FFC000"/>
                <w:szCs w:val="24"/>
                <w:bdr w:val="single" w:sz="4" w:space="0" w:color="auto"/>
              </w:rPr>
              <w:t>合作社</w:t>
            </w:r>
          </w:p>
          <w:p w:rsidR="00E836E6" w:rsidRPr="00BC6D42" w:rsidRDefault="00E836E6" w:rsidP="003247E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合作社販賣的食品均符合校園食品規定並有取得臺灣優良農產品</w:t>
            </w:r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(CAS)</w:t>
            </w:r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和臺灣優良食品</w:t>
            </w:r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(TQF)</w:t>
            </w:r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等驗證標章</w:t>
            </w:r>
            <w:r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  <w:t>，</w:t>
            </w:r>
            <w:r>
              <w:rPr>
                <w:rFonts w:eastAsiaTheme="majorEastAsia" w:hAnsiTheme="majorEastAsia" w:cstheme="minorHAnsi" w:hint="eastAsia"/>
                <w:sz w:val="20"/>
                <w:szCs w:val="20"/>
              </w:rPr>
              <w:t>也有校園食品標章</w:t>
            </w:r>
            <w:r>
              <w:rPr>
                <w:rFonts w:asciiTheme="majorEastAsia" w:eastAsiaTheme="majorEastAsia" w:hAnsiTheme="majorEastAsia" w:cstheme="minorHAnsi" w:hint="eastAsia"/>
                <w:sz w:val="20"/>
                <w:szCs w:val="20"/>
              </w:rPr>
              <w:t>。</w:t>
            </w:r>
          </w:p>
        </w:tc>
      </w:tr>
      <w:tr w:rsidR="00E836E6" w:rsidRPr="00ED35ED" w:rsidTr="00E836E6">
        <w:trPr>
          <w:trHeight w:val="2002"/>
        </w:trPr>
        <w:tc>
          <w:tcPr>
            <w:tcW w:w="817" w:type="dxa"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201</w:t>
            </w: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飲水機仍不夠</w:t>
            </w:r>
            <w:r w:rsidRPr="00ED35ED">
              <w:rPr>
                <w:rFonts w:ascii="標楷體" w:eastAsia="標楷體" w:hAnsi="標楷體" w:hint="eastAsia"/>
                <w:szCs w:val="24"/>
              </w:rPr>
              <w:t>，</w:t>
            </w:r>
            <w:r w:rsidRPr="00ED35ED">
              <w:rPr>
                <w:rFonts w:eastAsia="標楷體" w:hint="eastAsia"/>
                <w:szCs w:val="24"/>
              </w:rPr>
              <w:t>可否再增設</w:t>
            </w:r>
            <w:r w:rsidRPr="00ED35ED">
              <w:rPr>
                <w:rFonts w:ascii="標楷體" w:eastAsia="標楷體" w:hAnsi="標楷體" w:hint="eastAsia"/>
                <w:szCs w:val="24"/>
              </w:rPr>
              <w:t>，</w:t>
            </w:r>
            <w:r w:rsidRPr="00ED35ED">
              <w:rPr>
                <w:rFonts w:eastAsia="標楷體" w:hint="eastAsia"/>
                <w:szCs w:val="24"/>
              </w:rPr>
              <w:t>減少因裝水而延誤上課時間</w:t>
            </w:r>
            <w:r w:rsidRPr="00ED35ED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009900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009900"/>
                <w:szCs w:val="24"/>
                <w:bdr w:val="single" w:sz="4" w:space="0" w:color="auto"/>
              </w:rPr>
              <w:t>總務處</w:t>
            </w:r>
          </w:p>
          <w:p w:rsidR="00E836E6" w:rsidRPr="00CC7C02" w:rsidRDefault="00E836E6" w:rsidP="00174677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7C02">
              <w:rPr>
                <w:rFonts w:asciiTheme="majorEastAsia" w:eastAsiaTheme="majorEastAsia" w:hAnsiTheme="majorEastAsia" w:hint="eastAsia"/>
                <w:sz w:val="20"/>
                <w:szCs w:val="20"/>
              </w:rPr>
              <w:t>目前全校有10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台飲水機，尚</w:t>
            </w:r>
            <w:r w:rsidRPr="00CC7C02">
              <w:rPr>
                <w:rFonts w:asciiTheme="majorEastAsia" w:eastAsiaTheme="majorEastAsia" w:hAnsiTheme="majorEastAsia" w:hint="eastAsia"/>
                <w:sz w:val="20"/>
                <w:szCs w:val="20"/>
              </w:rPr>
              <w:t>足以提供師生飲用水需求，唯考量師生使用習慣不同</w:t>
            </w:r>
            <w:r w:rsidRPr="001950DA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1950D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目前已規劃先於莘學樓及育樂堂一</w:t>
            </w:r>
            <w:proofErr w:type="gramStart"/>
            <w:r w:rsidRPr="001950D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樓增設</w:t>
            </w:r>
            <w:proofErr w:type="gramEnd"/>
            <w:r w:rsidRPr="001950D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兩台飲水機，分散人潮，會再視需求狀況評估增設的可能性</w:t>
            </w:r>
            <w:r w:rsidRPr="001950D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E836E6" w:rsidRPr="00ED35ED" w:rsidTr="00E836E6">
        <w:trPr>
          <w:trHeight w:hRule="exact" w:val="1531"/>
        </w:trPr>
        <w:tc>
          <w:tcPr>
            <w:tcW w:w="817" w:type="dxa"/>
            <w:tcBorders>
              <w:left w:val="single" w:sz="18" w:space="0" w:color="auto"/>
            </w:tcBorders>
            <w:vAlign w:val="center"/>
          </w:tcPr>
          <w:p w:rsidR="00E836E6" w:rsidRPr="00ED35ED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203</w:t>
            </w:r>
          </w:p>
        </w:tc>
        <w:tc>
          <w:tcPr>
            <w:tcW w:w="4485" w:type="dxa"/>
            <w:tcBorders>
              <w:right w:val="single" w:sz="4" w:space="0" w:color="auto"/>
            </w:tcBorders>
            <w:vAlign w:val="center"/>
          </w:tcPr>
          <w:p w:rsidR="00E836E6" w:rsidRPr="00ED35ED" w:rsidRDefault="00E836E6" w:rsidP="00ED35ED">
            <w:pPr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ED35ED">
              <w:rPr>
                <w:rFonts w:eastAsia="標楷體" w:hint="eastAsia"/>
                <w:szCs w:val="24"/>
              </w:rPr>
              <w:t>希望能讓弦樂隊有比賽機會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0000FF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學</w:t>
            </w:r>
            <w:proofErr w:type="gramStart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務</w:t>
            </w:r>
            <w:proofErr w:type="gramEnd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處</w:t>
            </w:r>
          </w:p>
          <w:p w:rsidR="00E836E6" w:rsidRPr="00231E5B" w:rsidRDefault="00E836E6" w:rsidP="00137A88">
            <w:pPr>
              <w:jc w:val="both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若有同學想組成弦樂團體參加音樂比賽</w:t>
            </w:r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可告知學</w:t>
            </w:r>
            <w:proofErr w:type="gramStart"/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務</w:t>
            </w:r>
            <w:proofErr w:type="gramEnd"/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處活動組</w:t>
            </w:r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學</w:t>
            </w:r>
            <w:proofErr w:type="gramStart"/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務</w:t>
            </w:r>
            <w:proofErr w:type="gramEnd"/>
            <w:r w:rsidRPr="00231E5B">
              <w:rPr>
                <w:rFonts w:asciiTheme="majorEastAsia" w:eastAsiaTheme="majorEastAsia" w:hAnsiTheme="majorEastAsia"/>
                <w:sz w:val="20"/>
                <w:szCs w:val="20"/>
              </w:rPr>
              <w:t>處會提供必要之協助</w:t>
            </w:r>
            <w:r w:rsidRPr="00231E5B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E836E6" w:rsidRPr="00ED35ED" w:rsidTr="00E836E6">
        <w:trPr>
          <w:trHeight w:hRule="exact" w:val="1990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6E6" w:rsidRDefault="00E836E6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208</w:t>
            </w:r>
          </w:p>
        </w:tc>
        <w:tc>
          <w:tcPr>
            <w:tcW w:w="448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836E6" w:rsidRDefault="00E836E6" w:rsidP="00ED35ED">
            <w:pPr>
              <w:jc w:val="both"/>
              <w:rPr>
                <w:rFonts w:eastAsia="標楷體"/>
                <w:szCs w:val="24"/>
              </w:rPr>
            </w:pPr>
            <w:r w:rsidRPr="00DB0D57">
              <w:rPr>
                <w:rFonts w:eastAsia="標楷體" w:hint="eastAsia"/>
                <w:szCs w:val="24"/>
              </w:rPr>
              <w:t>制服</w:t>
            </w:r>
            <w:r>
              <w:rPr>
                <w:rFonts w:eastAsia="標楷體" w:hint="eastAsia"/>
                <w:szCs w:val="24"/>
              </w:rPr>
              <w:t>不透氣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希望能改進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6E6" w:rsidRPr="00CC7C02" w:rsidRDefault="00E836E6" w:rsidP="00CC7C02">
            <w:pPr>
              <w:jc w:val="both"/>
              <w:rPr>
                <w:rFonts w:eastAsia="標楷體"/>
                <w:color w:val="0000FF"/>
                <w:szCs w:val="24"/>
                <w:bdr w:val="single" w:sz="4" w:space="0" w:color="auto"/>
              </w:rPr>
            </w:pPr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學</w:t>
            </w:r>
            <w:proofErr w:type="gramStart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務</w:t>
            </w:r>
            <w:proofErr w:type="gramEnd"/>
            <w:r w:rsidRPr="00CC7C02">
              <w:rPr>
                <w:rFonts w:eastAsia="標楷體" w:hint="eastAsia"/>
                <w:color w:val="0000FF"/>
                <w:szCs w:val="24"/>
                <w:bdr w:val="single" w:sz="4" w:space="0" w:color="auto"/>
              </w:rPr>
              <w:t>處</w:t>
            </w:r>
          </w:p>
          <w:p w:rsidR="00E836E6" w:rsidRPr="00231E5B" w:rsidRDefault="00E836E6" w:rsidP="00231E5B">
            <w:pPr>
              <w:widowControl/>
              <w:rPr>
                <w:rFonts w:eastAsiaTheme="majorEastAsia"/>
                <w:sz w:val="20"/>
                <w:szCs w:val="20"/>
              </w:rPr>
            </w:pPr>
            <w:r w:rsidRPr="00231E5B">
              <w:rPr>
                <w:rFonts w:eastAsiaTheme="majorEastAsia"/>
                <w:sz w:val="20"/>
                <w:szCs w:val="20"/>
              </w:rPr>
              <w:t>制服布料規格棉</w:t>
            </w:r>
            <w:r w:rsidRPr="00231E5B">
              <w:rPr>
                <w:rFonts w:eastAsiaTheme="majorEastAsia"/>
                <w:sz w:val="20"/>
                <w:szCs w:val="20"/>
              </w:rPr>
              <w:t>60</w:t>
            </w:r>
            <w:r w:rsidRPr="00231E5B">
              <w:rPr>
                <w:rFonts w:eastAsiaTheme="majorEastAsia"/>
                <w:sz w:val="20"/>
                <w:szCs w:val="20"/>
              </w:rPr>
              <w:t>％、特多龍</w:t>
            </w:r>
            <w:r w:rsidRPr="00231E5B">
              <w:rPr>
                <w:rFonts w:eastAsiaTheme="majorEastAsia"/>
                <w:sz w:val="20"/>
                <w:szCs w:val="20"/>
              </w:rPr>
              <w:t>40</w:t>
            </w:r>
            <w:r w:rsidRPr="00231E5B">
              <w:rPr>
                <w:rFonts w:eastAsiaTheme="majorEastAsia"/>
                <w:sz w:val="20"/>
                <w:szCs w:val="20"/>
              </w:rPr>
              <w:t>％、紗支</w:t>
            </w:r>
            <w:proofErr w:type="gramStart"/>
            <w:r w:rsidRPr="00231E5B">
              <w:rPr>
                <w:rFonts w:eastAsiaTheme="majorEastAsia"/>
                <w:sz w:val="20"/>
                <w:szCs w:val="20"/>
              </w:rPr>
              <w:t>45</w:t>
            </w:r>
            <w:r w:rsidRPr="00231E5B">
              <w:rPr>
                <w:rFonts w:eastAsiaTheme="majorEastAsia"/>
                <w:sz w:val="20"/>
                <w:szCs w:val="20"/>
              </w:rPr>
              <w:t>支單股</w:t>
            </w:r>
            <w:proofErr w:type="gramEnd"/>
            <w:r w:rsidRPr="00231E5B">
              <w:rPr>
                <w:rFonts w:eastAsiaTheme="majorEastAsia"/>
                <w:sz w:val="20"/>
                <w:szCs w:val="20"/>
              </w:rPr>
              <w:t>(136</w:t>
            </w:r>
            <w:r w:rsidRPr="00231E5B">
              <w:rPr>
                <w:rFonts w:eastAsiaTheme="majorEastAsia"/>
                <w:sz w:val="20"/>
                <w:szCs w:val="20"/>
              </w:rPr>
              <w:t>根</w:t>
            </w:r>
            <w:r w:rsidRPr="00231E5B">
              <w:rPr>
                <w:rFonts w:eastAsiaTheme="majorEastAsia"/>
                <w:sz w:val="20"/>
                <w:szCs w:val="20"/>
              </w:rPr>
              <w:t>x72</w:t>
            </w:r>
            <w:r w:rsidRPr="00231E5B">
              <w:rPr>
                <w:rFonts w:eastAsiaTheme="majorEastAsia"/>
                <w:sz w:val="20"/>
                <w:szCs w:val="20"/>
              </w:rPr>
              <w:t>根</w:t>
            </w:r>
            <w:r w:rsidRPr="00231E5B">
              <w:rPr>
                <w:rFonts w:eastAsiaTheme="majorEastAsia"/>
                <w:sz w:val="20"/>
                <w:szCs w:val="20"/>
              </w:rPr>
              <w:t>)</w:t>
            </w:r>
            <w:r w:rsidRPr="00231E5B">
              <w:rPr>
                <w:rFonts w:eastAsiaTheme="majorEastAsia"/>
                <w:sz w:val="20"/>
                <w:szCs w:val="20"/>
              </w:rPr>
              <w:t>，皆依教育部相關規定辦理採購，儘量兼顧品質和舒適。</w:t>
            </w:r>
          </w:p>
        </w:tc>
      </w:tr>
    </w:tbl>
    <w:p w:rsidR="00941142" w:rsidRDefault="00941142" w:rsidP="00941142">
      <w:pPr>
        <w:spacing w:line="400" w:lineRule="exact"/>
        <w:rPr>
          <w:rFonts w:eastAsia="標楷體"/>
          <w:szCs w:val="24"/>
        </w:rPr>
      </w:pPr>
    </w:p>
    <w:p w:rsidR="00261281" w:rsidRDefault="00261281" w:rsidP="00941142">
      <w:pPr>
        <w:spacing w:line="400" w:lineRule="exact"/>
        <w:rPr>
          <w:rFonts w:eastAsia="標楷體"/>
          <w:szCs w:val="24"/>
        </w:rPr>
      </w:pPr>
    </w:p>
    <w:p w:rsidR="00261281" w:rsidRDefault="00261281" w:rsidP="00941142">
      <w:pPr>
        <w:spacing w:line="400" w:lineRule="exact"/>
        <w:rPr>
          <w:rFonts w:eastAsia="標楷體"/>
          <w:szCs w:val="24"/>
        </w:rPr>
      </w:pPr>
    </w:p>
    <w:p w:rsidR="00261281" w:rsidRDefault="00261281" w:rsidP="00941142">
      <w:pPr>
        <w:spacing w:line="400" w:lineRule="exact"/>
        <w:rPr>
          <w:rFonts w:eastAsia="標楷體"/>
          <w:szCs w:val="24"/>
        </w:rPr>
      </w:pPr>
      <w:bookmarkStart w:id="0" w:name="_GoBack"/>
      <w:bookmarkEnd w:id="0"/>
    </w:p>
    <w:sectPr w:rsidR="00261281" w:rsidSect="00E836E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02" w:rsidRDefault="001A5102" w:rsidP="00ED35ED">
      <w:r>
        <w:separator/>
      </w:r>
    </w:p>
  </w:endnote>
  <w:endnote w:type="continuationSeparator" w:id="0">
    <w:p w:rsidR="001A5102" w:rsidRDefault="001A5102" w:rsidP="00ED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02" w:rsidRDefault="001A5102" w:rsidP="00ED35ED">
      <w:r>
        <w:separator/>
      </w:r>
    </w:p>
  </w:footnote>
  <w:footnote w:type="continuationSeparator" w:id="0">
    <w:p w:rsidR="001A5102" w:rsidRDefault="001A5102" w:rsidP="00ED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57"/>
    <w:rsid w:val="00011ECE"/>
    <w:rsid w:val="00036EED"/>
    <w:rsid w:val="00084D0B"/>
    <w:rsid w:val="0008771A"/>
    <w:rsid w:val="000B4D1C"/>
    <w:rsid w:val="00102077"/>
    <w:rsid w:val="00137A88"/>
    <w:rsid w:val="00174677"/>
    <w:rsid w:val="001950DA"/>
    <w:rsid w:val="001A5102"/>
    <w:rsid w:val="001E63EC"/>
    <w:rsid w:val="00231E5B"/>
    <w:rsid w:val="00261281"/>
    <w:rsid w:val="00302C29"/>
    <w:rsid w:val="003247E6"/>
    <w:rsid w:val="004032DF"/>
    <w:rsid w:val="004224CC"/>
    <w:rsid w:val="004C5559"/>
    <w:rsid w:val="005649DF"/>
    <w:rsid w:val="005C42A0"/>
    <w:rsid w:val="00677F13"/>
    <w:rsid w:val="006E23D7"/>
    <w:rsid w:val="00706CC6"/>
    <w:rsid w:val="00797EFD"/>
    <w:rsid w:val="007E61E5"/>
    <w:rsid w:val="00802B6C"/>
    <w:rsid w:val="0083561D"/>
    <w:rsid w:val="008A19F0"/>
    <w:rsid w:val="00941142"/>
    <w:rsid w:val="00B43024"/>
    <w:rsid w:val="00B815EC"/>
    <w:rsid w:val="00B94D33"/>
    <w:rsid w:val="00BA3D4A"/>
    <w:rsid w:val="00BC6D42"/>
    <w:rsid w:val="00C06D4E"/>
    <w:rsid w:val="00C27C36"/>
    <w:rsid w:val="00CC35F4"/>
    <w:rsid w:val="00CC7C02"/>
    <w:rsid w:val="00DB0D57"/>
    <w:rsid w:val="00DD22FF"/>
    <w:rsid w:val="00E44404"/>
    <w:rsid w:val="00E836E6"/>
    <w:rsid w:val="00EA54B7"/>
    <w:rsid w:val="00ED35ED"/>
    <w:rsid w:val="00F1026F"/>
    <w:rsid w:val="00F1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5ED"/>
    <w:rPr>
      <w:sz w:val="20"/>
      <w:szCs w:val="20"/>
    </w:rPr>
  </w:style>
  <w:style w:type="table" w:styleId="a7">
    <w:name w:val="Table Grid"/>
    <w:basedOn w:val="a1"/>
    <w:uiPriority w:val="59"/>
    <w:rsid w:val="00ED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D35E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D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35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5ED"/>
    <w:rPr>
      <w:sz w:val="20"/>
      <w:szCs w:val="20"/>
    </w:rPr>
  </w:style>
  <w:style w:type="table" w:styleId="a7">
    <w:name w:val="Table Grid"/>
    <w:basedOn w:val="a1"/>
    <w:uiPriority w:val="59"/>
    <w:rsid w:val="00ED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D35E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D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3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2A6D-80F9-4DA5-8782-88DE68CF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2017-10-31T09:11:00Z</dcterms:created>
  <dcterms:modified xsi:type="dcterms:W3CDTF">2017-10-31T09:13:00Z</dcterms:modified>
</cp:coreProperties>
</file>