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3" w:rsidRPr="00D629B3" w:rsidRDefault="00D629B3" w:rsidP="00D629B3">
      <w:pPr>
        <w:widowControl/>
        <w:spacing w:before="100" w:beforeAutospacing="1" w:after="150" w:line="300" w:lineRule="atLeast"/>
        <w:outlineLvl w:val="1"/>
        <w:rPr>
          <w:rFonts w:ascii="Verdana" w:eastAsia="新細明體" w:hAnsi="Verdana" w:cs="新細明體"/>
          <w:b/>
          <w:bCs/>
          <w:color w:val="000000"/>
          <w:kern w:val="0"/>
          <w:szCs w:val="24"/>
        </w:rPr>
      </w:pPr>
      <w:r w:rsidRPr="00D629B3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【新聞發布】教育局說明</w:t>
      </w:r>
      <w:proofErr w:type="gramStart"/>
      <w:r w:rsidRPr="00D629B3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臺</w:t>
      </w:r>
      <w:proofErr w:type="gramEnd"/>
      <w:r w:rsidRPr="00D629B3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南區十二年國教</w:t>
      </w:r>
      <w:proofErr w:type="gramStart"/>
      <w:r w:rsidRPr="00D629B3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超額比序修訂</w:t>
      </w:r>
      <w:proofErr w:type="gramEnd"/>
      <w:r w:rsidRPr="00D629B3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案，</w:t>
      </w:r>
      <w:r w:rsidRPr="00D629B3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104</w:t>
      </w:r>
      <w:r w:rsidRPr="00D629B3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學年度起入學高級中等學校學生適用之</w:t>
      </w:r>
    </w:p>
    <w:p w:rsidR="00D629B3" w:rsidRPr="00D629B3" w:rsidRDefault="00D629B3" w:rsidP="00D629B3">
      <w:pPr>
        <w:widowControl/>
        <w:spacing w:line="4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D62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D629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南市政府教育局新聞稿</w:t>
      </w:r>
    </w:p>
    <w:p w:rsidR="00D629B3" w:rsidRPr="00D629B3" w:rsidRDefault="00D629B3" w:rsidP="00D629B3">
      <w:pPr>
        <w:widowControl/>
        <w:spacing w:before="100" w:beforeAutospacing="1" w:after="150" w:line="30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發稿日期：2014年10月7日</w:t>
      </w:r>
    </w:p>
    <w:p w:rsidR="00D629B3" w:rsidRPr="00D629B3" w:rsidRDefault="00D629B3" w:rsidP="00D629B3">
      <w:pPr>
        <w:widowControl/>
        <w:spacing w:line="4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ab/>
        <w:t xml:space="preserve"> 教育局指出，有關各界對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南區十二年國民基本教育入學制度之建議與期待，教育局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均已錄案並研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擬修訂案，後經103年8月14日、103年10月6日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南市教育審議委員會第1、2次會議決議通過，所通過的方案內容如下：</w:t>
      </w:r>
    </w:p>
    <w:p w:rsidR="00D629B3" w:rsidRPr="00D629B3" w:rsidRDefault="00D629B3" w:rsidP="00D629B3">
      <w:pPr>
        <w:widowControl/>
        <w:spacing w:line="4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 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一、</w:t>
      </w:r>
      <w:proofErr w:type="gramStart"/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超額比序之</w:t>
      </w:r>
      <w:proofErr w:type="gramEnd"/>
      <w:r w:rsidRPr="0065611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志願序分數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提高，並增加學生可選填志願數：</w:t>
      </w:r>
    </w:p>
    <w:p w:rsidR="00D629B3" w:rsidRPr="00D629B3" w:rsidRDefault="00D629B3" w:rsidP="00D629B3">
      <w:pPr>
        <w:widowControl/>
        <w:spacing w:line="420" w:lineRule="exact"/>
        <w:ind w:left="1395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超額比序志願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序分數由第一志願7分、第二志願4分、第三志願3分、第四志願2分、第五志願1分，調整為第一志願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10分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、第二志願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8分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、第三志願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7分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、第四志願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6分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、第五志願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5分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，第六志願起可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選填數不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限，以科為單位選填，但第六志願起以後均不計志願序分數。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二、</w:t>
      </w:r>
      <w:proofErr w:type="gramStart"/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超額比序項目</w:t>
      </w:r>
      <w:proofErr w:type="gramEnd"/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減少，</w:t>
      </w:r>
      <w:r w:rsidRPr="0065611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106學年度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起</w:t>
      </w:r>
      <w:r w:rsidRPr="0065611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刪除</w:t>
      </w:r>
      <w:proofErr w:type="gramStart"/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超額比序</w:t>
      </w:r>
      <w:r w:rsidRPr="0065611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幹部</w:t>
      </w:r>
      <w:proofErr w:type="gramEnd"/>
      <w:r w:rsidRPr="0065611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任期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項目：</w:t>
      </w:r>
    </w:p>
    <w:p w:rsidR="00D629B3" w:rsidRPr="00D629B3" w:rsidRDefault="00D629B3" w:rsidP="00D629B3">
      <w:pPr>
        <w:widowControl/>
        <w:spacing w:line="420" w:lineRule="exact"/>
        <w:ind w:left="708" w:hangingChars="253" w:hanging="708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ab/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104學年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度起入學高級中等學校學生，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不</w:t>
      </w:r>
      <w:proofErr w:type="gramStart"/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採</w:t>
      </w:r>
      <w:proofErr w:type="gramEnd"/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計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生涯</w:t>
      </w:r>
      <w:proofErr w:type="gramEnd"/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發展規劃建議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項目、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技職證照或資格檢定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項目以及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均衡學習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項目等三項。106學年度起入學高級中等學校學生，除前述三項不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採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計外，另不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採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計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「幹部任期」項目分數。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競賽類別減少，不</w:t>
      </w:r>
      <w:proofErr w:type="gramStart"/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採</w:t>
      </w:r>
      <w:proofErr w:type="gramEnd"/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計國際發明展競賽項目：</w:t>
      </w:r>
    </w:p>
    <w:p w:rsidR="00D629B3" w:rsidRPr="00D629B3" w:rsidRDefault="00D629B3" w:rsidP="00D629B3">
      <w:pPr>
        <w:widowControl/>
        <w:spacing w:line="420" w:lineRule="exact"/>
        <w:ind w:left="1395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超額比序競賽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成績不列入資訊類以及科學實驗競賽項目。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104學年度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起入學高級中等學校學生，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不</w:t>
      </w:r>
      <w:proofErr w:type="gramStart"/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採</w:t>
      </w:r>
      <w:proofErr w:type="gramEnd"/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計「國際發明展」</w:t>
      </w:r>
      <w:r w:rsidRPr="00656112">
        <w:rPr>
          <w:rFonts w:ascii="標楷體" w:eastAsia="標楷體" w:hAnsi="標楷體" w:cs="Times New Roman" w:hint="eastAsia"/>
          <w:sz w:val="28"/>
          <w:szCs w:val="28"/>
        </w:rPr>
        <w:t>競賽項目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。目前已獲獎或是已報名參加國際發明展者，如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獲獎均不列入超額比序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「競賽成績」分數，惟學校得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酌予敘獎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。106學年度起入學高級中等學校學生，所適用之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「競賽成績」項目分數，由20分調降為10分。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四、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刪除級分制：</w:t>
      </w:r>
    </w:p>
    <w:p w:rsidR="00D629B3" w:rsidRPr="00D629B3" w:rsidRDefault="00D629B3" w:rsidP="00D629B3">
      <w:pPr>
        <w:widowControl/>
        <w:spacing w:line="420" w:lineRule="exact"/>
        <w:ind w:left="139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多元學習表現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獎勵紀錄、幹部任期、社團參與、服務學習、體適能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等五項由8分調整為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10分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，且刪除五級分制，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均</w:t>
      </w:r>
      <w:r w:rsidRPr="00656112">
        <w:rPr>
          <w:rFonts w:ascii="標楷體" w:eastAsia="標楷體" w:hAnsi="標楷體" w:cs="Times New Roman" w:hint="eastAsia"/>
          <w:sz w:val="28"/>
          <w:szCs w:val="28"/>
        </w:rPr>
        <w:t>以原始</w:t>
      </w:r>
      <w:proofErr w:type="gramEnd"/>
      <w:r w:rsidRPr="00656112">
        <w:rPr>
          <w:rFonts w:ascii="標楷體" w:eastAsia="標楷體" w:hAnsi="標楷體" w:cs="Times New Roman" w:hint="eastAsia"/>
          <w:sz w:val="28"/>
          <w:szCs w:val="28"/>
        </w:rPr>
        <w:t>分數計分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五、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提高國中教育</w:t>
      </w:r>
      <w:r w:rsidRPr="0065611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會考分數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D629B3" w:rsidRPr="00D629B3" w:rsidRDefault="00D629B3" w:rsidP="00D629B3">
      <w:pPr>
        <w:widowControl/>
        <w:spacing w:line="420" w:lineRule="exact"/>
        <w:ind w:left="139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國中教育會考成績最高分數由25分調整為</w:t>
      </w:r>
      <w:r w:rsidRPr="00656112">
        <w:rPr>
          <w:rFonts w:ascii="標楷體" w:eastAsia="標楷體" w:hAnsi="標楷體" w:cs="Times New Roman" w:hint="eastAsia"/>
          <w:color w:val="FF0000"/>
          <w:sz w:val="28"/>
          <w:szCs w:val="28"/>
        </w:rPr>
        <w:t>30分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精熟每科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6分、基礎每科4分、待加強每科2分。</w:t>
      </w:r>
    </w:p>
    <w:p w:rsidR="00D629B3" w:rsidRPr="00D629B3" w:rsidRDefault="00D629B3" w:rsidP="00D629B3">
      <w:pPr>
        <w:widowControl/>
        <w:spacing w:line="420" w:lineRule="exact"/>
        <w:ind w:left="1395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 </w:t>
      </w:r>
    </w:p>
    <w:p w:rsidR="00D629B3" w:rsidRPr="00D629B3" w:rsidRDefault="00D629B3" w:rsidP="00D629B3">
      <w:pPr>
        <w:widowControl/>
        <w:spacing w:line="420" w:lineRule="exact"/>
        <w:ind w:firstLineChars="200" w:firstLine="56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教育局指出，有關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「多元學習表現」獎勵紀錄、幹部任期、社團參與、服務學習、體適能等項目，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均以原始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分數計分，不再換算五級分，各項目計分方式說明如下：</w:t>
      </w:r>
    </w:p>
    <w:p w:rsidR="00D629B3" w:rsidRPr="00D629B3" w:rsidRDefault="00D629B3" w:rsidP="00D629B3">
      <w:pPr>
        <w:widowControl/>
        <w:spacing w:line="420" w:lineRule="exact"/>
        <w:ind w:firstLineChars="200" w:firstLine="56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 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一、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獎勵紀錄之計分：</w:t>
      </w:r>
    </w:p>
    <w:p w:rsidR="00D629B3" w:rsidRPr="00D629B3" w:rsidRDefault="00D629B3" w:rsidP="00D629B3">
      <w:pPr>
        <w:widowControl/>
        <w:spacing w:line="440" w:lineRule="exact"/>
        <w:ind w:leftChars="261" w:left="1984" w:right="293" w:hangingChars="485" w:hanging="1358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)獎勵：大功每次加2.25分，小功每次加0.75分，嘉獎每次加0.25分。</w:t>
      </w:r>
    </w:p>
    <w:p w:rsidR="00D629B3" w:rsidRPr="00D629B3" w:rsidRDefault="00D629B3" w:rsidP="00D629B3">
      <w:pPr>
        <w:widowControl/>
        <w:spacing w:line="440" w:lineRule="exact"/>
        <w:ind w:leftChars="258" w:left="1985" w:right="293" w:hangingChars="488" w:hanging="1366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(二)懲罰：大過每次扣2.25分，小過每次扣0.75分，警告每次扣0.25分。</w:t>
      </w:r>
    </w:p>
    <w:p w:rsidR="00D629B3" w:rsidRPr="00D629B3" w:rsidRDefault="00D629B3" w:rsidP="00D629B3">
      <w:pPr>
        <w:widowControl/>
        <w:spacing w:line="440" w:lineRule="exact"/>
        <w:ind w:leftChars="268" w:left="1273" w:right="293" w:hangingChars="225" w:hanging="630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(三)國中階段(自七上開學日起，至九下開學前一日止) 功過相抵後，無懲處紀錄者給予基本分3分，相抵後仍有懲處紀錄者給予0分。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二、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幹部任期之計分：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擔任全校性幹部或班級性幹部服務滿一學期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者均以3分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計。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社團參與之計分：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參加學校於課程內或課後(含假日及寒暑假)實施之社團，每學期滿16小時(節)以上，並經教師評核通過者計2分。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四、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服務學習之計分：</w:t>
      </w: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服務時數每小時以0.25分計，總時數以40小時為上限。</w:t>
      </w:r>
    </w:p>
    <w:p w:rsidR="00D629B3" w:rsidRPr="00D629B3" w:rsidRDefault="00D629B3" w:rsidP="00D629B3">
      <w:pPr>
        <w:widowControl/>
        <w:spacing w:line="420" w:lineRule="exact"/>
        <w:ind w:left="1395" w:hanging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五、</w:t>
      </w:r>
      <w:r w:rsidRPr="00D629B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體適能之計分：</w:t>
      </w:r>
    </w:p>
    <w:p w:rsidR="00D629B3" w:rsidRPr="00D629B3" w:rsidRDefault="00D629B3" w:rsidP="00D629B3">
      <w:pPr>
        <w:widowControl/>
        <w:tabs>
          <w:tab w:val="left" w:pos="9360"/>
        </w:tabs>
        <w:snapToGrid w:val="0"/>
        <w:spacing w:line="440" w:lineRule="exact"/>
        <w:ind w:left="1395" w:right="267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)同一次檢測四項均無(或僅一項)達門檻者，得4分。</w:t>
      </w:r>
    </w:p>
    <w:p w:rsidR="00D629B3" w:rsidRPr="00D629B3" w:rsidRDefault="00D629B3" w:rsidP="00D629B3">
      <w:pPr>
        <w:widowControl/>
        <w:tabs>
          <w:tab w:val="left" w:pos="9360"/>
        </w:tabs>
        <w:snapToGrid w:val="0"/>
        <w:spacing w:line="440" w:lineRule="exact"/>
        <w:ind w:left="1395" w:right="267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(二)同一次檢測任二項檢測成績達門檻者，得6分。</w:t>
      </w:r>
    </w:p>
    <w:p w:rsidR="00D629B3" w:rsidRPr="00D629B3" w:rsidRDefault="00D629B3" w:rsidP="00D629B3">
      <w:pPr>
        <w:widowControl/>
        <w:tabs>
          <w:tab w:val="left" w:pos="9360"/>
        </w:tabs>
        <w:snapToGrid w:val="0"/>
        <w:spacing w:line="440" w:lineRule="exact"/>
        <w:ind w:right="267" w:firstLineChars="250" w:firstLine="70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(三)同一次檢測任二項檢測成績達百分等級50以上者，得8分。</w:t>
      </w:r>
    </w:p>
    <w:p w:rsidR="00D629B3" w:rsidRPr="00D629B3" w:rsidRDefault="00D629B3" w:rsidP="00D629B3">
      <w:pPr>
        <w:widowControl/>
        <w:tabs>
          <w:tab w:val="left" w:pos="9360"/>
        </w:tabs>
        <w:snapToGrid w:val="0"/>
        <w:spacing w:line="440" w:lineRule="exact"/>
        <w:ind w:right="267" w:firstLineChars="250" w:firstLine="70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(四)同一次檢測任二項檢測成績達百分等級75以上者，得9分。</w:t>
      </w:r>
    </w:p>
    <w:p w:rsidR="00D629B3" w:rsidRPr="00D629B3" w:rsidRDefault="00D629B3" w:rsidP="00D629B3">
      <w:pPr>
        <w:widowControl/>
        <w:tabs>
          <w:tab w:val="left" w:pos="9360"/>
        </w:tabs>
        <w:snapToGrid w:val="0"/>
        <w:spacing w:line="440" w:lineRule="exact"/>
        <w:ind w:right="267" w:firstLineChars="250" w:firstLine="700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(五)同一次檢測任二項檢測成績達百分等級85以上者，得10分。</w:t>
      </w:r>
    </w:p>
    <w:p w:rsidR="00D629B3" w:rsidRPr="00D629B3" w:rsidRDefault="00D629B3" w:rsidP="00D629B3">
      <w:pPr>
        <w:widowControl/>
        <w:spacing w:line="420" w:lineRule="exact"/>
        <w:ind w:firstLineChars="200" w:firstLine="56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 </w:t>
      </w:r>
      <w:bookmarkStart w:id="0" w:name="_GoBack"/>
      <w:bookmarkEnd w:id="0"/>
    </w:p>
    <w:p w:rsidR="00D629B3" w:rsidRPr="00D629B3" w:rsidRDefault="00D629B3" w:rsidP="00D629B3">
      <w:pPr>
        <w:widowControl/>
        <w:spacing w:line="440" w:lineRule="exact"/>
        <w:ind w:firstLineChars="200" w:firstLine="56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教育局表示，上述修訂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內容均已訂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於「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南區高級中等學校免試入學作業要點」、「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南區十二年國民基本教育免試入學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超額比序多元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學習表現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採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計原則」中，並經本市教育審議委員會決議通過，將儘速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循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行政程序報教育部備查後發布，相關內容也將同步登載於本市十二年國教網(</w:t>
      </w:r>
      <w:hyperlink r:id="rId4" w:history="1">
        <w:r w:rsidRPr="00D629B3">
          <w:rPr>
            <w:rFonts w:ascii="標楷體" w:eastAsia="標楷體" w:hAnsi="標楷體" w:cs="Times New Roman" w:hint="eastAsia"/>
            <w:color w:val="0000FF"/>
            <w:sz w:val="28"/>
            <w:szCs w:val="28"/>
          </w:rPr>
          <w:t>http://12basic.tn.edu.tw</w:t>
        </w:r>
      </w:hyperlink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)。</w:t>
      </w:r>
    </w:p>
    <w:p w:rsidR="00D629B3" w:rsidRPr="00D629B3" w:rsidRDefault="00D629B3" w:rsidP="00D629B3">
      <w:pPr>
        <w:widowControl/>
        <w:spacing w:line="440" w:lineRule="exact"/>
        <w:ind w:firstLineChars="200" w:firstLine="56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 </w:t>
      </w:r>
    </w:p>
    <w:p w:rsidR="00D629B3" w:rsidRPr="00D629B3" w:rsidRDefault="00D629B3" w:rsidP="00D629B3">
      <w:pPr>
        <w:widowControl/>
        <w:spacing w:line="420" w:lineRule="exact"/>
        <w:ind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教育局強調，前述104學年度起入學高級中等學校學生所適用之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超額比序項目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與計分方式，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均已定案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，不會再更動。教育局已規劃於今(103)年11月辦理各國中到校宣導，將針對所修訂之入學制度做詳細說明。</w:t>
      </w:r>
    </w:p>
    <w:p w:rsidR="00D629B3" w:rsidRPr="00D629B3" w:rsidRDefault="00D629B3" w:rsidP="00D629B3">
      <w:pPr>
        <w:widowControl/>
        <w:spacing w:line="42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 </w:t>
      </w:r>
    </w:p>
    <w:p w:rsidR="003A192A" w:rsidRPr="00D629B3" w:rsidRDefault="00D629B3" w:rsidP="00D629B3">
      <w:pPr>
        <w:widowControl/>
        <w:spacing w:line="420" w:lineRule="exact"/>
      </w:pPr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發稿單位：</w:t>
      </w:r>
      <w:proofErr w:type="gramStart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D629B3">
        <w:rPr>
          <w:rFonts w:ascii="標楷體" w:eastAsia="標楷體" w:hAnsi="標楷體" w:cs="Times New Roman" w:hint="eastAsia"/>
          <w:color w:val="000000"/>
          <w:sz w:val="28"/>
          <w:szCs w:val="28"/>
        </w:rPr>
        <w:t>南市政府教育局</w:t>
      </w:r>
    </w:p>
    <w:sectPr w:rsidR="003A192A" w:rsidRPr="00D629B3" w:rsidSect="00D629B3">
      <w:pgSz w:w="11906" w:h="16838"/>
      <w:pgMar w:top="907" w:right="1077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9B3"/>
    <w:rsid w:val="003A192A"/>
    <w:rsid w:val="00656112"/>
    <w:rsid w:val="007809A2"/>
    <w:rsid w:val="007F2674"/>
    <w:rsid w:val="008D2457"/>
    <w:rsid w:val="00D6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0739">
                  <w:marLeft w:val="37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basic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Company>hcjh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2014-10-17T08:21:00Z</dcterms:created>
  <dcterms:modified xsi:type="dcterms:W3CDTF">2014-10-17T08:25:00Z</dcterms:modified>
</cp:coreProperties>
</file>