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lineRule="exact" w:line="460"/>
        <w:jc w:val="center"/>
        <w:rPr>
          <w:rFonts w:ascii="標楷體" w:hAnsi="標楷體" w:eastAsia="標楷體" w:cs="標楷體"/>
          <w:bCs/>
          <w:spacing w:val="-6"/>
          <w:sz w:val="40"/>
          <w:szCs w:val="40"/>
        </w:rPr>
      </w:pPr>
      <w:r>
        <w:rPr>
          <w:rFonts w:ascii="標楷體" w:hAnsi="標楷體" w:cs="標楷體" w:eastAsia="標楷體"/>
          <w:bCs/>
          <w:spacing w:val="-6"/>
          <w:sz w:val="40"/>
          <w:szCs w:val="40"/>
        </w:rPr>
        <w:t xml:space="preserve">全民共享經濟成果普發現金辦法                                          </w:t>
      </w:r>
    </w:p>
    <w:p>
      <w:pPr>
        <w:pStyle w:val="Normal"/>
        <w:tabs>
          <w:tab w:val="clear" w:pos="480"/>
          <w:tab w:val="left" w:pos="2895" w:leader="none"/>
          <w:tab w:val="left" w:pos="2948" w:leader="none"/>
        </w:tabs>
        <w:snapToGrid w:val="false"/>
        <w:spacing w:lineRule="exact" w:line="460"/>
        <w:ind w:left="1417" w:hanging="1417"/>
        <w:rPr>
          <w:rFonts w:ascii="標楷體" w:hAnsi="標楷體" w:eastAsia="標楷體" w:cs="標楷體"/>
          <w:bCs/>
          <w:sz w:val="28"/>
          <w:szCs w:val="28"/>
        </w:rPr>
      </w:pPr>
      <w:r>
        <w:rPr>
          <w:rFonts w:ascii="標楷體" w:hAnsi="標楷體" w:cs="標楷體" w:eastAsia="標楷體"/>
          <w:bCs/>
          <w:sz w:val="28"/>
          <w:szCs w:val="28"/>
        </w:rPr>
        <w:t>第  一  條    本辦法依疫後強化經濟與社會韌性及全民共享經濟成果特別條例第四條第一項規定訂定之。</w:t>
      </w:r>
    </w:p>
    <w:p>
      <w:pPr>
        <w:pStyle w:val="Normal"/>
        <w:tabs>
          <w:tab w:val="clear" w:pos="480"/>
        </w:tabs>
        <w:snapToGrid w:val="false"/>
        <w:spacing w:lineRule="exact" w:line="460"/>
        <w:ind w:left="850" w:hanging="850"/>
        <w:rPr>
          <w:rFonts w:ascii="標楷體" w:hAnsi="標楷體" w:eastAsia="標楷體" w:cs="標楷體"/>
          <w:bCs/>
          <w:sz w:val="28"/>
          <w:szCs w:val="28"/>
        </w:rPr>
      </w:pPr>
      <w:r>
        <w:rPr>
          <w:rFonts w:ascii="標楷體" w:hAnsi="標楷體" w:cs="標楷體" w:eastAsia="標楷體"/>
          <w:bCs/>
          <w:sz w:val="28"/>
          <w:szCs w:val="28"/>
        </w:rPr>
        <w:t>第  二  條　　本辦法之主管機關為財政部。</w:t>
      </w:r>
    </w:p>
    <w:p>
      <w:pPr>
        <w:pStyle w:val="Normal"/>
        <w:tabs>
          <w:tab w:val="clear" w:pos="480"/>
        </w:tabs>
        <w:snapToGrid w:val="false"/>
        <w:spacing w:lineRule="exact" w:line="460"/>
        <w:ind w:left="1417" w:firstLine="567"/>
        <w:rPr>
          <w:rFonts w:ascii="標楷體" w:hAnsi="標楷體" w:eastAsia="標楷體" w:cs="標楷體"/>
          <w:bCs/>
          <w:sz w:val="28"/>
          <w:szCs w:val="28"/>
        </w:rPr>
      </w:pPr>
      <w:r>
        <w:rPr>
          <w:rFonts w:ascii="標楷體" w:hAnsi="標楷體" w:cs="標楷體" w:eastAsia="標楷體"/>
          <w:bCs/>
          <w:sz w:val="28"/>
          <w:szCs w:val="28"/>
        </w:rPr>
        <w:t>本辦法所定事項，主管機關得委任所屬機關執行。</w:t>
      </w:r>
    </w:p>
    <w:p>
      <w:pPr>
        <w:pStyle w:val="Normal"/>
        <w:tabs>
          <w:tab w:val="clear" w:pos="480"/>
        </w:tabs>
        <w:snapToGrid w:val="false"/>
        <w:spacing w:lineRule="exact" w:line="460"/>
        <w:ind w:left="1401" w:hanging="0"/>
        <w:rPr>
          <w:rFonts w:ascii="標楷體" w:hAnsi="標楷體" w:eastAsia="標楷體" w:cs="標楷體"/>
          <w:bCs/>
          <w:sz w:val="28"/>
          <w:szCs w:val="28"/>
        </w:rPr>
      </w:pPr>
      <w:r>
        <w:rPr>
          <w:rFonts w:ascii="標楷體" w:hAnsi="標楷體" w:cs="標楷體" w:eastAsia="標楷體"/>
          <w:bCs/>
          <w:sz w:val="28"/>
          <w:szCs w:val="28"/>
        </w:rPr>
        <w:t>　　有關普發現金系統平台建置，由主管機關會同數位發展部辦理。</w:t>
      </w:r>
    </w:p>
    <w:p>
      <w:pPr>
        <w:pStyle w:val="Normal"/>
        <w:tabs>
          <w:tab w:val="clear" w:pos="480"/>
          <w:tab w:val="left" w:pos="2816" w:leader="none"/>
          <w:tab w:val="left" w:pos="2932" w:leader="none"/>
        </w:tabs>
        <w:snapToGrid w:val="false"/>
        <w:spacing w:lineRule="exact" w:line="460"/>
        <w:ind w:left="1401" w:hanging="1401"/>
        <w:rPr/>
      </w:pPr>
      <w:r>
        <w:rPr>
          <w:rStyle w:val="Style14"/>
          <w:rFonts w:ascii="標楷體" w:hAnsi="標楷體" w:cs="標楷體" w:eastAsia="標楷體"/>
          <w:bCs/>
          <w:sz w:val="28"/>
          <w:szCs w:val="28"/>
        </w:rPr>
        <w:t>第  三  條    於中華民國一百十二年十月三十一日以前，符合下列各款資格之一者，得依本辦法領取新臺幣六千元：</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一、於國內現有戶籍之國民。</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二、各級政府機關因公派駐國外於國內現無戶籍之人員</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及其具有我國國籍之眷屬。</w:t>
      </w:r>
    </w:p>
    <w:p>
      <w:pPr>
        <w:pStyle w:val="Normal"/>
        <w:tabs>
          <w:tab w:val="clear" w:pos="480"/>
        </w:tabs>
        <w:snapToGrid w:val="false"/>
        <w:spacing w:lineRule="exact" w:line="460"/>
        <w:ind w:left="2520" w:hanging="252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三、取得臺灣地區居留許可之無戶籍國民。</w:t>
      </w:r>
    </w:p>
    <w:p>
      <w:pPr>
        <w:pStyle w:val="Normal"/>
        <w:tabs>
          <w:tab w:val="clear" w:pos="480"/>
        </w:tabs>
        <w:snapToGrid w:val="false"/>
        <w:spacing w:lineRule="exact" w:line="460"/>
        <w:ind w:left="2520" w:hanging="252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四、大陸地區人民為國內現有戶籍國民之配偶，且取得臺灣地區依親居留、長期居留許可。</w:t>
      </w:r>
    </w:p>
    <w:p>
      <w:pPr>
        <w:pStyle w:val="Normal"/>
        <w:tabs>
          <w:tab w:val="clear" w:pos="480"/>
        </w:tabs>
        <w:snapToGrid w:val="false"/>
        <w:spacing w:lineRule="exact" w:line="460"/>
        <w:ind w:left="2520" w:hanging="252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五、</w:t>
      </w:r>
      <w:r>
        <w:rPr>
          <w:rFonts w:eastAsia="標楷體" w:cs="標楷體" w:ascii="標楷體" w:hAnsi="標楷體"/>
          <w:bCs/>
          <w:sz w:val="28"/>
          <w:szCs w:val="28"/>
          <w:lang w:val="zh-TW"/>
        </w:rPr>
        <w:tab/>
      </w:r>
      <w:r>
        <w:rPr>
          <w:rFonts w:ascii="標楷體" w:hAnsi="標楷體" w:cs="標楷體" w:eastAsia="標楷體"/>
          <w:bCs/>
          <w:sz w:val="28"/>
          <w:szCs w:val="28"/>
          <w:lang w:val="zh-TW"/>
        </w:rPr>
        <w:t>外國人為國內現有戶籍國民之配偶，且取得居留許可。</w:t>
      </w:r>
    </w:p>
    <w:p>
      <w:pPr>
        <w:pStyle w:val="Normal"/>
        <w:tabs>
          <w:tab w:val="clear" w:pos="480"/>
        </w:tabs>
        <w:snapToGrid w:val="false"/>
        <w:spacing w:lineRule="exact" w:line="460"/>
        <w:ind w:left="1953" w:hanging="1953"/>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六、香港或澳門居民為臺灣地區人民之配偶，且取得居</w:t>
      </w:r>
    </w:p>
    <w:p>
      <w:pPr>
        <w:pStyle w:val="Normal"/>
        <w:tabs>
          <w:tab w:val="clear" w:pos="480"/>
        </w:tabs>
        <w:snapToGrid w:val="false"/>
        <w:spacing w:lineRule="exact" w:line="460"/>
        <w:ind w:left="1953" w:hanging="1953"/>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留許可。</w:t>
      </w:r>
    </w:p>
    <w:p>
      <w:pPr>
        <w:pStyle w:val="Normal"/>
        <w:tabs>
          <w:tab w:val="clear" w:pos="480"/>
        </w:tabs>
        <w:snapToGrid w:val="false"/>
        <w:spacing w:lineRule="exact" w:line="460"/>
        <w:ind w:left="1953" w:hanging="1953"/>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七、前三款大陸地區人民、外國人、香港或澳門居民離婚</w:t>
      </w:r>
    </w:p>
    <w:p>
      <w:pPr>
        <w:pStyle w:val="Normal"/>
        <w:tabs>
          <w:tab w:val="clear" w:pos="480"/>
          <w:tab w:val="left" w:pos="4165" w:leader="none"/>
        </w:tabs>
        <w:snapToGrid w:val="false"/>
        <w:spacing w:lineRule="exact" w:line="460"/>
        <w:ind w:left="1953" w:hanging="1953"/>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或配偶死亡，其居留許可未廢止。</w:t>
      </w:r>
    </w:p>
    <w:p>
      <w:pPr>
        <w:pStyle w:val="Normal"/>
        <w:tabs>
          <w:tab w:val="clear" w:pos="480"/>
          <w:tab w:val="left" w:pos="4165" w:leader="none"/>
        </w:tabs>
        <w:snapToGrid w:val="false"/>
        <w:spacing w:lineRule="exact" w:line="460"/>
        <w:ind w:left="1953" w:hanging="1953"/>
        <w:rPr/>
      </w:pPr>
      <w:r>
        <w:rPr>
          <w:rStyle w:val="Style14"/>
          <w:rFonts w:ascii="標楷體" w:hAnsi="標楷體" w:cs="標楷體" w:eastAsia="標楷體"/>
          <w:bCs/>
          <w:sz w:val="28"/>
          <w:szCs w:val="28"/>
          <w:lang w:val="zh-TW"/>
        </w:rPr>
        <w:t xml:space="preserve">              </w:t>
      </w:r>
      <w:r>
        <w:rPr>
          <w:rStyle w:val="Style14"/>
          <w:rFonts w:ascii="標楷體" w:hAnsi="標楷體" w:cs="標楷體" w:eastAsia="標楷體"/>
          <w:bCs/>
          <w:sz w:val="28"/>
          <w:szCs w:val="28"/>
          <w:lang w:val="zh-TW"/>
        </w:rPr>
        <w:t>八、</w:t>
      </w:r>
      <w:r>
        <w:rPr>
          <w:rStyle w:val="Style14"/>
          <w:rFonts w:ascii="標楷體" w:hAnsi="標楷體" w:cs="標楷體" w:eastAsia="標楷體"/>
          <w:sz w:val="28"/>
          <w:szCs w:val="28"/>
        </w:rPr>
        <w:t>第三款至前款之人取得定居許可，尚未設戶籍。</w:t>
      </w:r>
    </w:p>
    <w:p>
      <w:pPr>
        <w:pStyle w:val="Normal"/>
        <w:tabs>
          <w:tab w:val="clear" w:pos="480"/>
          <w:tab w:val="left" w:pos="4165" w:leader="none"/>
        </w:tabs>
        <w:snapToGrid w:val="false"/>
        <w:spacing w:lineRule="exact" w:line="460"/>
        <w:ind w:left="1953" w:hanging="1953"/>
        <w:rPr>
          <w:rFonts w:ascii="標楷體" w:hAnsi="標楷體" w:eastAsia="標楷體" w:cs="標楷體"/>
          <w:sz w:val="28"/>
          <w:szCs w:val="28"/>
        </w:rPr>
      </w:pPr>
      <w:r>
        <w:rPr>
          <w:rFonts w:ascii="標楷體" w:hAnsi="標楷體" w:cs="標楷體" w:eastAsia="標楷體"/>
          <w:sz w:val="28"/>
          <w:szCs w:val="28"/>
        </w:rPr>
        <w:t xml:space="preserve">              </w:t>
      </w:r>
      <w:r>
        <w:rPr>
          <w:rFonts w:ascii="標楷體" w:hAnsi="標楷體" w:cs="標楷體" w:eastAsia="標楷體"/>
          <w:sz w:val="28"/>
          <w:szCs w:val="28"/>
        </w:rPr>
        <w:t>九、取得我國永久居留許可之外國人。</w:t>
      </w:r>
    </w:p>
    <w:p>
      <w:pPr>
        <w:pStyle w:val="Normal"/>
        <w:tabs>
          <w:tab w:val="clear" w:pos="480"/>
        </w:tabs>
        <w:snapToGrid w:val="false"/>
        <w:spacing w:lineRule="exact" w:line="460"/>
        <w:ind w:left="1401" w:hanging="0"/>
        <w:rPr/>
      </w:pPr>
      <w:r>
        <w:rPr>
          <w:rStyle w:val="Style14"/>
          <w:rFonts w:ascii="標楷體" w:hAnsi="標楷體" w:cs="標楷體" w:eastAsia="標楷體"/>
          <w:bCs/>
          <w:sz w:val="28"/>
          <w:szCs w:val="28"/>
          <w:lang w:val="zh-TW"/>
        </w:rPr>
        <w:t xml:space="preserve">    </w:t>
      </w:r>
      <w:r>
        <w:rPr>
          <w:rStyle w:val="Style14"/>
          <w:rFonts w:ascii="標楷體" w:hAnsi="標楷體" w:cs="標楷體" w:eastAsia="標楷體"/>
          <w:bCs/>
          <w:sz w:val="28"/>
          <w:szCs w:val="28"/>
        </w:rPr>
        <w:t>於中華民國一百十二年十月一日至十二月三十一日間在國內出生並領有出生證明之國民，且其生母或生父符合前項各款資格之一者，亦得領取新臺幣六千元。</w:t>
      </w:r>
    </w:p>
    <w:p>
      <w:pPr>
        <w:pStyle w:val="Normal"/>
        <w:tabs>
          <w:tab w:val="clear" w:pos="480"/>
          <w:tab w:val="left" w:pos="2832" w:leader="none"/>
          <w:tab w:val="left" w:pos="2948" w:leader="none"/>
        </w:tabs>
        <w:snapToGrid w:val="false"/>
        <w:spacing w:lineRule="exact" w:line="460"/>
        <w:ind w:left="1417" w:hanging="1361"/>
        <w:rPr>
          <w:rFonts w:ascii="標楷體" w:hAnsi="標楷體" w:eastAsia="標楷體" w:cs="標楷體"/>
          <w:bCs/>
          <w:sz w:val="28"/>
          <w:szCs w:val="28"/>
        </w:rPr>
      </w:pPr>
      <w:r>
        <w:rPr>
          <w:rFonts w:ascii="標楷體" w:hAnsi="標楷體" w:cs="標楷體" w:eastAsia="標楷體"/>
          <w:bCs/>
          <w:sz w:val="28"/>
          <w:szCs w:val="28"/>
        </w:rPr>
        <w:t>第  四  條    符合前條第一項資格者之領取方式、期間及應備之資料或文件如下：</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一、登記入帳：自中華民國一百十二年三月二十二日起</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至一百十二年十月三十一日止，由符合領取資格者</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至主管機關指定之網站登記，輸入國民身分證統一</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編號或中華民國居留證統一證號、全民健康保險保</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險憑證</w:t>
      </w:r>
      <w:r>
        <w:rPr>
          <w:rFonts w:eastAsia="標楷體" w:cs="標楷體" w:ascii="標楷體" w:hAnsi="標楷體"/>
          <w:bCs/>
          <w:sz w:val="28"/>
          <w:szCs w:val="28"/>
          <w:lang w:val="zh-TW"/>
        </w:rPr>
        <w:t>(</w:t>
      </w:r>
      <w:r>
        <w:rPr>
          <w:rFonts w:ascii="標楷體" w:hAnsi="標楷體" w:cs="標楷體" w:eastAsia="標楷體"/>
          <w:bCs/>
          <w:sz w:val="28"/>
          <w:szCs w:val="28"/>
          <w:lang w:val="zh-TW"/>
        </w:rPr>
        <w:t>以下簡稱健保卡</w:t>
      </w:r>
      <w:r>
        <w:rPr>
          <w:rFonts w:eastAsia="標楷體" w:cs="標楷體" w:ascii="標楷體" w:hAnsi="標楷體"/>
          <w:bCs/>
          <w:sz w:val="28"/>
          <w:szCs w:val="28"/>
          <w:lang w:val="zh-TW"/>
        </w:rPr>
        <w:t>)</w:t>
      </w:r>
      <w:r>
        <w:rPr>
          <w:rFonts w:ascii="標楷體" w:hAnsi="標楷體" w:cs="標楷體" w:eastAsia="標楷體"/>
          <w:bCs/>
          <w:sz w:val="28"/>
          <w:szCs w:val="28"/>
          <w:lang w:val="zh-TW"/>
        </w:rPr>
        <w:t>卡號及其金融機構或中華</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郵政股份有限公司</w:t>
      </w:r>
      <w:r>
        <w:rPr>
          <w:rFonts w:eastAsia="標楷體" w:cs="標楷體" w:ascii="標楷體" w:hAnsi="標楷體"/>
          <w:bCs/>
          <w:sz w:val="28"/>
          <w:szCs w:val="28"/>
          <w:lang w:val="zh-TW"/>
        </w:rPr>
        <w:t>(</w:t>
      </w:r>
      <w:r>
        <w:rPr>
          <w:rFonts w:ascii="標楷體" w:hAnsi="標楷體" w:cs="標楷體" w:eastAsia="標楷體"/>
          <w:bCs/>
          <w:sz w:val="28"/>
          <w:szCs w:val="28"/>
          <w:lang w:val="zh-TW"/>
        </w:rPr>
        <w:t>以下簡稱郵局</w:t>
      </w:r>
      <w:r>
        <w:rPr>
          <w:rFonts w:eastAsia="標楷體" w:cs="標楷體" w:ascii="標楷體" w:hAnsi="標楷體"/>
          <w:bCs/>
          <w:sz w:val="28"/>
          <w:szCs w:val="28"/>
          <w:lang w:val="zh-TW"/>
        </w:rPr>
        <w:t>)</w:t>
      </w:r>
      <w:r>
        <w:rPr>
          <w:rFonts w:ascii="標楷體" w:hAnsi="標楷體" w:cs="標楷體" w:eastAsia="標楷體"/>
          <w:bCs/>
          <w:sz w:val="28"/>
          <w:szCs w:val="28"/>
          <w:lang w:val="zh-TW"/>
        </w:rPr>
        <w:t>之代號及金融帳</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戶號碼入帳。</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二、實體自動化服務設備（以下簡稱</w:t>
      </w:r>
      <w:r>
        <w:rPr>
          <w:rFonts w:eastAsia="標楷體" w:cs="標楷體" w:ascii="標楷體" w:hAnsi="標楷體"/>
          <w:bCs/>
          <w:sz w:val="28"/>
          <w:szCs w:val="28"/>
          <w:lang w:val="zh-TW"/>
        </w:rPr>
        <w:t>ATM</w:t>
      </w:r>
      <w:r>
        <w:rPr>
          <w:rFonts w:ascii="標楷體" w:hAnsi="標楷體" w:cs="標楷體" w:eastAsia="標楷體"/>
          <w:bCs/>
          <w:sz w:val="28"/>
          <w:szCs w:val="28"/>
          <w:lang w:val="zh-TW"/>
        </w:rPr>
        <w:t>）領現：自中華</w:t>
      </w:r>
    </w:p>
    <w:p>
      <w:pPr>
        <w:pStyle w:val="Normal"/>
        <w:snapToGrid w:val="false"/>
        <w:spacing w:lineRule="exact" w:line="460"/>
        <w:jc w:val="both"/>
        <w:rPr/>
      </w:pPr>
      <w:r>
        <w:rPr>
          <w:rStyle w:val="Style14"/>
          <w:rFonts w:ascii="標楷體" w:hAnsi="標楷體" w:cs="標楷體" w:eastAsia="標楷體"/>
          <w:bCs/>
          <w:sz w:val="28"/>
          <w:szCs w:val="28"/>
          <w:lang w:val="zh-TW"/>
        </w:rPr>
        <w:t xml:space="preserve">                 </w:t>
      </w:r>
      <w:r>
        <w:rPr>
          <w:rStyle w:val="Style14"/>
          <w:rFonts w:ascii="標楷體" w:hAnsi="標楷體" w:cs="標楷體" w:eastAsia="標楷體"/>
          <w:bCs/>
          <w:sz w:val="16"/>
          <w:szCs w:val="16"/>
          <w:lang w:val="zh-TW"/>
        </w:rPr>
        <w:t xml:space="preserve"> </w:t>
      </w:r>
      <w:r>
        <w:rPr>
          <w:rStyle w:val="Style14"/>
          <w:rFonts w:ascii="標楷體" w:hAnsi="標楷體" w:cs="標楷體" w:eastAsia="標楷體"/>
          <w:bCs/>
          <w:sz w:val="28"/>
          <w:szCs w:val="28"/>
          <w:lang w:val="zh-TW"/>
        </w:rPr>
        <w:t>民國一百十二年四月十日起至一百十二年十月三十</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一日止，由符合領取資格者至主管機關指定之金融</w:t>
      </w:r>
    </w:p>
    <w:p>
      <w:pPr>
        <w:pStyle w:val="Normal"/>
        <w:snapToGrid w:val="false"/>
        <w:spacing w:lineRule="exact" w:line="460"/>
        <w:jc w:val="both"/>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機構或郵局設置之</w:t>
      </w:r>
      <w:r>
        <w:rPr>
          <w:rFonts w:eastAsia="標楷體" w:cs="標楷體" w:ascii="標楷體" w:hAnsi="標楷體"/>
          <w:bCs/>
          <w:sz w:val="28"/>
          <w:szCs w:val="28"/>
          <w:lang w:val="zh-TW"/>
        </w:rPr>
        <w:t>ATM</w:t>
      </w:r>
      <w:r>
        <w:rPr>
          <w:rFonts w:ascii="標楷體" w:hAnsi="標楷體" w:cs="標楷體" w:eastAsia="標楷體"/>
          <w:bCs/>
          <w:sz w:val="28"/>
          <w:szCs w:val="28"/>
          <w:lang w:val="zh-TW"/>
        </w:rPr>
        <w:t>，輸入國民身分證統一編號</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或中華民國居留證統一證號、健保卡卡號領取。</w:t>
      </w:r>
    </w:p>
    <w:p>
      <w:pPr>
        <w:pStyle w:val="Normal"/>
        <w:tabs>
          <w:tab w:val="clear" w:pos="480"/>
        </w:tabs>
        <w:snapToGrid w:val="false"/>
        <w:spacing w:lineRule="exact" w:line="460"/>
        <w:ind w:left="2520" w:hanging="252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三、郵局領現：自中華民國一百十二年四月十七日起至一百十二年十月三十一日止，由符合領取資格者親自或委託他人備妥下列身分證明文件，至郵局臨櫃領取：</w:t>
      </w:r>
    </w:p>
    <w:p>
      <w:pPr>
        <w:pStyle w:val="Normal"/>
        <w:tabs>
          <w:tab w:val="clear" w:pos="480"/>
        </w:tabs>
        <w:snapToGrid w:val="false"/>
        <w:spacing w:lineRule="exact" w:line="460"/>
        <w:ind w:left="2520" w:hanging="252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（一）領有健保卡者，應持健保卡。</w:t>
      </w:r>
    </w:p>
    <w:p>
      <w:pPr>
        <w:pStyle w:val="Normal"/>
        <w:tabs>
          <w:tab w:val="clear" w:pos="480"/>
        </w:tabs>
        <w:snapToGrid w:val="false"/>
        <w:spacing w:lineRule="exact" w:line="460"/>
        <w:ind w:left="2520" w:hanging="252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（二）未領有健保卡者，應持國民身分證或中華民</w:t>
      </w:r>
    </w:p>
    <w:p>
      <w:pPr>
        <w:pStyle w:val="Normal"/>
        <w:tabs>
          <w:tab w:val="clear" w:pos="480"/>
        </w:tabs>
        <w:snapToGrid w:val="false"/>
        <w:spacing w:lineRule="exact" w:line="460"/>
        <w:ind w:left="2520" w:hanging="252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國居留證等身分證明文件。</w:t>
      </w:r>
    </w:p>
    <w:p>
      <w:pPr>
        <w:pStyle w:val="Normal"/>
        <w:tabs>
          <w:tab w:val="clear" w:pos="480"/>
        </w:tabs>
        <w:snapToGrid w:val="false"/>
        <w:spacing w:lineRule="exact" w:line="460"/>
        <w:ind w:left="2520" w:hanging="252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（三）委託他人領取時，應同時出具受託人具照片</w:t>
      </w:r>
    </w:p>
    <w:p>
      <w:pPr>
        <w:pStyle w:val="Normal"/>
        <w:tabs>
          <w:tab w:val="clear" w:pos="480"/>
        </w:tabs>
        <w:snapToGrid w:val="false"/>
        <w:spacing w:lineRule="exact" w:line="460"/>
        <w:ind w:left="2520" w:hanging="252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之身分證明文件，領取時由受託人簽收。</w:t>
      </w:r>
    </w:p>
    <w:p>
      <w:pPr>
        <w:pStyle w:val="Normal"/>
        <w:tabs>
          <w:tab w:val="clear" w:pos="480"/>
        </w:tabs>
        <w:snapToGrid w:val="false"/>
        <w:spacing w:lineRule="exact" w:line="460"/>
        <w:ind w:left="1401" w:hanging="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符合前條第二項資格者，應於中華民國一百十三年一月三十一日以前，備妥出生證明及其生母或生父之身分證明文件，至郵局臨櫃領取。</w:t>
      </w:r>
    </w:p>
    <w:p>
      <w:pPr>
        <w:pStyle w:val="Normal"/>
        <w:tabs>
          <w:tab w:val="clear" w:pos="480"/>
          <w:tab w:val="left" w:pos="2832" w:leader="none"/>
          <w:tab w:val="left" w:pos="2948" w:leader="none"/>
        </w:tabs>
        <w:snapToGrid w:val="false"/>
        <w:spacing w:lineRule="exact" w:line="460"/>
        <w:ind w:left="1417" w:hanging="1361"/>
        <w:rPr>
          <w:rFonts w:ascii="標楷體" w:hAnsi="標楷體" w:eastAsia="標楷體" w:cs="標楷體"/>
          <w:bCs/>
          <w:sz w:val="28"/>
          <w:szCs w:val="28"/>
        </w:rPr>
      </w:pPr>
      <w:r>
        <w:rPr>
          <w:rFonts w:ascii="標楷體" w:hAnsi="標楷體" w:cs="標楷體" w:eastAsia="標楷體"/>
          <w:bCs/>
          <w:sz w:val="28"/>
          <w:szCs w:val="28"/>
        </w:rPr>
        <w:t>第  五  條    符合第三條第一項資格，且有下列情形之一者，主管機關得委託相關機關或委辦直轄市、縣（市）政府，辦理直接撥入其帳戶或造冊發放，亦得委託金融輔助業者，辦理直接撥入其帳戶：</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一、符合第三條第一項第二款資格。</w:t>
      </w:r>
    </w:p>
    <w:p>
      <w:pPr>
        <w:pStyle w:val="Normal"/>
        <w:snapToGrid w:val="false"/>
        <w:spacing w:lineRule="exact" w:line="460"/>
        <w:rPr/>
      </w:pPr>
      <w:r>
        <w:rPr>
          <w:rStyle w:val="Style14"/>
          <w:rFonts w:ascii="標楷體" w:hAnsi="標楷體" w:cs="標楷體" w:eastAsia="標楷體"/>
          <w:bCs/>
          <w:sz w:val="28"/>
          <w:szCs w:val="28"/>
          <w:lang w:val="zh-TW"/>
        </w:rPr>
        <w:t xml:space="preserve">              </w:t>
      </w:r>
      <w:r>
        <w:rPr>
          <w:rStyle w:val="Style14"/>
          <w:rFonts w:ascii="標楷體" w:hAnsi="標楷體" w:cs="標楷體" w:eastAsia="標楷體"/>
          <w:bCs/>
          <w:sz w:val="28"/>
          <w:szCs w:val="28"/>
          <w:lang w:val="zh-TW"/>
        </w:rPr>
        <w:t>二、</w:t>
      </w:r>
      <w:r>
        <w:rPr>
          <w:rStyle w:val="Style14"/>
          <w:rFonts w:ascii="標楷體" w:hAnsi="標楷體" w:cs="標楷體" w:eastAsia="標楷體"/>
          <w:bCs/>
          <w:sz w:val="12"/>
          <w:szCs w:val="12"/>
          <w:lang w:val="zh-TW"/>
        </w:rPr>
        <w:t xml:space="preserve"> </w:t>
      </w:r>
      <w:r>
        <w:rPr>
          <w:rStyle w:val="Style14"/>
          <w:rFonts w:ascii="標楷體" w:hAnsi="標楷體" w:cs="標楷體" w:eastAsia="標楷體"/>
          <w:bCs/>
          <w:sz w:val="28"/>
          <w:szCs w:val="28"/>
          <w:lang w:val="zh-TW"/>
        </w:rPr>
        <w:t>領有勞工保險之年金給付、勞工職業災害保險之年</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金給付、國民年金各項年金給付</w:t>
      </w:r>
      <w:r>
        <w:rPr>
          <w:rFonts w:eastAsia="標楷體" w:cs="標楷體" w:ascii="標楷體" w:hAnsi="標楷體"/>
          <w:bCs/>
          <w:sz w:val="28"/>
          <w:szCs w:val="28"/>
          <w:lang w:val="zh-TW"/>
        </w:rPr>
        <w:t>(</w:t>
      </w:r>
      <w:r>
        <w:rPr>
          <w:rFonts w:ascii="標楷體" w:hAnsi="標楷體" w:cs="標楷體" w:eastAsia="標楷體"/>
          <w:bCs/>
          <w:sz w:val="28"/>
          <w:szCs w:val="28"/>
          <w:lang w:val="zh-TW"/>
        </w:rPr>
        <w:t>含原住民給付</w:t>
      </w:r>
      <w:r>
        <w:rPr>
          <w:rFonts w:eastAsia="標楷體" w:cs="標楷體" w:ascii="標楷體" w:hAnsi="標楷體"/>
          <w:bCs/>
          <w:sz w:val="28"/>
          <w:szCs w:val="28"/>
          <w:lang w:val="zh-TW"/>
        </w:rPr>
        <w:t>)</w:t>
      </w:r>
      <w:r>
        <w:rPr>
          <w:rFonts w:ascii="標楷體" w:hAnsi="標楷體" w:cs="標楷體" w:eastAsia="標楷體"/>
          <w:bCs/>
          <w:sz w:val="28"/>
          <w:szCs w:val="28"/>
          <w:lang w:val="zh-TW"/>
        </w:rPr>
        <w:t>、老</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年農民福利津貼、農民退休儲金、勞工退休金之月退</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休金、身心障礙者生活補助費或中低收入老人生活</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津貼。</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三、經國軍退除役官兵輔導委員會所屬機構以直接入帳</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方式發給就養給付之退除役官兵。</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四、依兒童及少年福利與權益保障法安置之兒童及少年。</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五、無設置</w:t>
      </w:r>
      <w:r>
        <w:rPr>
          <w:rFonts w:eastAsia="標楷體" w:cs="標楷體" w:ascii="標楷體" w:hAnsi="標楷體"/>
          <w:bCs/>
          <w:sz w:val="28"/>
          <w:szCs w:val="28"/>
          <w:lang w:val="zh-TW"/>
        </w:rPr>
        <w:t>ATM</w:t>
      </w:r>
      <w:r>
        <w:rPr>
          <w:rFonts w:ascii="標楷體" w:hAnsi="標楷體" w:cs="標楷體" w:eastAsia="標楷體"/>
          <w:bCs/>
          <w:sz w:val="28"/>
          <w:szCs w:val="28"/>
          <w:lang w:val="zh-TW"/>
        </w:rPr>
        <w:t>或無郵局之偏鄉地區民眾。</w:t>
      </w:r>
    </w:p>
    <w:p>
      <w:pPr>
        <w:pStyle w:val="Normal"/>
        <w:snapToGrid w:val="false"/>
        <w:spacing w:lineRule="exact" w:line="46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六、矯正機關之收容人。</w:t>
      </w:r>
    </w:p>
    <w:p>
      <w:pPr>
        <w:pStyle w:val="Normal"/>
        <w:tabs>
          <w:tab w:val="clear" w:pos="480"/>
        </w:tabs>
        <w:snapToGrid w:val="false"/>
        <w:spacing w:lineRule="exact" w:line="460"/>
        <w:ind w:left="1401" w:hanging="0"/>
        <w:rPr>
          <w:rFonts w:ascii="標楷體" w:hAnsi="標楷體" w:eastAsia="標楷體" w:cs="標楷體"/>
          <w:bCs/>
          <w:sz w:val="28"/>
          <w:szCs w:val="28"/>
          <w:lang w:val="zh-TW"/>
        </w:rPr>
      </w:pPr>
      <w:r>
        <w:rPr>
          <w:rFonts w:ascii="標楷體" w:hAnsi="標楷體" w:cs="標楷體" w:eastAsia="標楷體"/>
          <w:bCs/>
          <w:sz w:val="28"/>
          <w:szCs w:val="28"/>
          <w:lang w:val="zh-TW"/>
        </w:rPr>
        <w:t xml:space="preserve">    </w:t>
      </w:r>
      <w:r>
        <w:rPr>
          <w:rFonts w:ascii="標楷體" w:hAnsi="標楷體" w:cs="標楷體" w:eastAsia="標楷體"/>
          <w:bCs/>
          <w:sz w:val="28"/>
          <w:szCs w:val="28"/>
          <w:lang w:val="zh-TW"/>
        </w:rPr>
        <w:t>直轄市、縣（市）政府得為前項第四款受安置兒童及少年開立金融機構或郵局帳戶。</w:t>
      </w:r>
    </w:p>
    <w:p>
      <w:pPr>
        <w:pStyle w:val="Normal"/>
        <w:tabs>
          <w:tab w:val="clear" w:pos="480"/>
          <w:tab w:val="left" w:pos="2832" w:leader="none"/>
          <w:tab w:val="left" w:pos="2948" w:leader="none"/>
        </w:tabs>
        <w:snapToGrid w:val="false"/>
        <w:spacing w:lineRule="exact" w:line="460"/>
        <w:ind w:left="1417" w:hanging="1361"/>
        <w:rPr>
          <w:rFonts w:ascii="標楷體" w:hAnsi="標楷體" w:eastAsia="標楷體" w:cs="標楷體"/>
          <w:bCs/>
          <w:sz w:val="28"/>
          <w:szCs w:val="28"/>
        </w:rPr>
      </w:pPr>
      <w:r>
        <w:rPr>
          <w:rFonts w:ascii="標楷體" w:hAnsi="標楷體" w:cs="標楷體" w:eastAsia="標楷體"/>
          <w:bCs/>
          <w:sz w:val="28"/>
          <w:szCs w:val="28"/>
        </w:rPr>
        <w:t>第  六  條　　普發現金之身分驗證及發放作業等相關事項，主管機關得委託金融輔助業者、金融機構及郵局辦理。</w:t>
      </w:r>
    </w:p>
    <w:p>
      <w:pPr>
        <w:pStyle w:val="Normal"/>
        <w:tabs>
          <w:tab w:val="clear" w:pos="480"/>
          <w:tab w:val="left" w:pos="2832" w:leader="none"/>
          <w:tab w:val="left" w:pos="2948" w:leader="none"/>
        </w:tabs>
        <w:snapToGrid w:val="false"/>
        <w:spacing w:lineRule="exact" w:line="460"/>
        <w:ind w:left="1417" w:hanging="1361"/>
        <w:rPr>
          <w:rFonts w:ascii="標楷體" w:hAnsi="標楷體" w:eastAsia="標楷體" w:cs="標楷體"/>
          <w:bCs/>
          <w:sz w:val="28"/>
          <w:szCs w:val="28"/>
        </w:rPr>
      </w:pPr>
      <w:r>
        <w:rPr>
          <w:rFonts w:ascii="標楷體" w:hAnsi="標楷體" w:cs="標楷體" w:eastAsia="標楷體"/>
          <w:bCs/>
          <w:sz w:val="28"/>
          <w:szCs w:val="28"/>
        </w:rPr>
        <w:t>第  七  條　　主管機關與數位發展部得監督、查核前條金融輔助業者、金融機構及郵局辦理受託事項之情形。發現有未配合監督、查核或違反本辦法規定者，主管機關得停止撥付並追回已撥付款項。</w:t>
      </w:r>
    </w:p>
    <w:p>
      <w:pPr>
        <w:pStyle w:val="Normal"/>
        <w:tabs>
          <w:tab w:val="clear" w:pos="480"/>
          <w:tab w:val="left" w:pos="2832" w:leader="none"/>
          <w:tab w:val="left" w:pos="2948" w:leader="none"/>
        </w:tabs>
        <w:snapToGrid w:val="false"/>
        <w:spacing w:lineRule="exact" w:line="460"/>
        <w:ind w:left="1417" w:hanging="1361"/>
        <w:rPr>
          <w:rFonts w:ascii="標楷體" w:hAnsi="標楷體" w:eastAsia="標楷體" w:cs="標楷體"/>
          <w:bCs/>
          <w:sz w:val="28"/>
          <w:szCs w:val="28"/>
        </w:rPr>
      </w:pPr>
      <w:r>
        <w:rPr>
          <w:rFonts w:ascii="標楷體" w:hAnsi="標楷體" w:cs="標楷體" w:eastAsia="標楷體"/>
          <w:bCs/>
          <w:sz w:val="28"/>
          <w:szCs w:val="28"/>
        </w:rPr>
        <w:t>第  八  條    各級政府機關、公營事業機構辦理本辦法相關事項，各級承辦人員對非由於故意、重大過失或舞弊情事所造成之金額短差，得依審計法第七十七條第一款規定免除全部之損害賠償責任，或免除予以糾正之處置。</w:t>
      </w:r>
    </w:p>
    <w:p>
      <w:pPr>
        <w:pStyle w:val="Normal"/>
        <w:tabs>
          <w:tab w:val="clear" w:pos="480"/>
          <w:tab w:val="left" w:pos="2816" w:leader="none"/>
          <w:tab w:val="left" w:pos="2932" w:leader="none"/>
        </w:tabs>
        <w:snapToGrid w:val="false"/>
        <w:spacing w:lineRule="exact" w:line="460"/>
        <w:ind w:left="1401" w:hanging="0"/>
        <w:rPr>
          <w:rFonts w:ascii="標楷體" w:hAnsi="標楷體" w:eastAsia="標楷體" w:cs="標楷體"/>
          <w:bCs/>
          <w:sz w:val="28"/>
          <w:szCs w:val="28"/>
        </w:rPr>
      </w:pPr>
      <w:r>
        <w:rPr>
          <w:rFonts w:ascii="標楷體" w:hAnsi="標楷體" w:cs="標楷體" w:eastAsia="標楷體"/>
          <w:bCs/>
          <w:sz w:val="28"/>
          <w:szCs w:val="28"/>
        </w:rPr>
        <w:t>　　民營事業機構辦理本辦法相關事項，各級承辦人員對非由於故意、重大過失或舞弊情事所造成之金額短差，得免除相關行政及財務責任。</w:t>
      </w:r>
    </w:p>
    <w:p>
      <w:pPr>
        <w:pStyle w:val="Normal"/>
        <w:tabs>
          <w:tab w:val="clear" w:pos="480"/>
          <w:tab w:val="left" w:pos="2816" w:leader="none"/>
          <w:tab w:val="left" w:pos="2932" w:leader="none"/>
        </w:tabs>
        <w:snapToGrid w:val="false"/>
        <w:spacing w:lineRule="exact" w:line="460"/>
        <w:ind w:left="1401" w:hanging="0"/>
        <w:rPr/>
      </w:pPr>
      <w:r>
        <w:rPr>
          <w:rStyle w:val="Style14"/>
          <w:rFonts w:ascii="標楷體" w:hAnsi="標楷體" w:cs="標楷體" w:eastAsia="標楷體"/>
          <w:bCs/>
          <w:sz w:val="28"/>
          <w:szCs w:val="28"/>
        </w:rPr>
        <w:t xml:space="preserve">    </w:t>
      </w:r>
      <w:r>
        <w:rPr>
          <w:rStyle w:val="Style14"/>
          <w:rFonts w:ascii="標楷體" w:hAnsi="標楷體" w:cs="標楷體" w:eastAsia="標楷體"/>
          <w:bCs/>
          <w:color w:val="000000"/>
          <w:sz w:val="28"/>
          <w:szCs w:val="28"/>
        </w:rPr>
        <w:t>主管機關得投保責任保險，以填補因普發現金經結算後有金額短差之損失。</w:t>
      </w:r>
    </w:p>
    <w:p>
      <w:pPr>
        <w:pStyle w:val="Normal"/>
        <w:tabs>
          <w:tab w:val="clear" w:pos="480"/>
          <w:tab w:val="left" w:pos="2832" w:leader="none"/>
          <w:tab w:val="left" w:pos="2948" w:leader="none"/>
        </w:tabs>
        <w:snapToGrid w:val="false"/>
        <w:spacing w:lineRule="exact" w:line="460"/>
        <w:ind w:left="1417" w:hanging="1361"/>
        <w:rPr>
          <w:rFonts w:ascii="標楷體" w:hAnsi="標楷體" w:eastAsia="標楷體" w:cs="標楷體"/>
          <w:bCs/>
          <w:sz w:val="28"/>
          <w:szCs w:val="28"/>
        </w:rPr>
      </w:pPr>
      <w:r>
        <w:rPr>
          <w:rFonts w:ascii="標楷體" w:hAnsi="標楷體" w:cs="標楷體" w:eastAsia="標楷體"/>
          <w:bCs/>
          <w:sz w:val="28"/>
          <w:szCs w:val="28"/>
        </w:rPr>
        <w:t>第  九  條　　主管機關及數位發展部為辦理普發現金業務所需，得請求相關機關（構）、法人或團體提供必要資料。</w:t>
      </w:r>
    </w:p>
    <w:p>
      <w:pPr>
        <w:pStyle w:val="Normal"/>
        <w:tabs>
          <w:tab w:val="clear" w:pos="480"/>
          <w:tab w:val="left" w:pos="2832" w:leader="none"/>
          <w:tab w:val="left" w:pos="2948" w:leader="none"/>
        </w:tabs>
        <w:snapToGrid w:val="false"/>
        <w:spacing w:lineRule="exact" w:line="460"/>
        <w:ind w:left="1417" w:hanging="1361"/>
        <w:rPr/>
      </w:pPr>
      <w:r>
        <w:rPr>
          <w:rStyle w:val="Style14"/>
          <w:rFonts w:ascii="標楷體" w:hAnsi="標楷體" w:cs="標楷體" w:eastAsia="標楷體"/>
          <w:bCs/>
          <w:sz w:val="28"/>
          <w:szCs w:val="28"/>
        </w:rPr>
        <w:t>第  十  條　　本辦法自中華民國一百十二年三月二十日施行。</w:t>
      </w:r>
    </w:p>
    <w:sectPr>
      <w:footerReference w:type="default" r:id="rId2"/>
      <w:type w:val="nextPage"/>
      <w:pgSz w:w="11906" w:h="16838"/>
      <w:pgMar w:left="1701" w:right="1418" w:header="0" w:top="720" w:footer="1417" w:bottom="184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 w:name="Liberation Sans">
    <w:altName w:val="Arial"/>
    <w:charset w:val="88"/>
    <w:family w:val="swiss"/>
    <w:pitch w:val="variable"/>
  </w:font>
  <w:font w:name="細明體">
    <w:altName w:val="MingLiU"/>
    <w:charset w:val="88"/>
    <w:family w:val="modern"/>
    <w:pitch w:val="default"/>
  </w:font>
  <w:font w:name="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ind w:right="360" w:hanging="0"/>
      <w:rPr/>
    </w:pPr>
    <w:r>
      <w:rPr/>
    </w:r>
  </w:p>
</w:ftr>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kern w:val="2"/>
        <w:sz w:val="24"/>
        <w:szCs w:val="24"/>
        <w:lang w:val="en-US" w:eastAsia="zh-TW"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bidi="ar-SA" w:val="en-US" w:eastAsia="zh-TW"/>
    </w:rPr>
  </w:style>
  <w:style w:type="character" w:styleId="Style14">
    <w:name w:val="預設段落字型"/>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標楷體" w:hAnsi="標楷體"/>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u w:val="singl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lang w:val="en-US"/>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Style15">
    <w:name w:val="頁碼"/>
    <w:basedOn w:val="Style14"/>
    <w:rPr/>
  </w:style>
  <w:style w:type="character" w:styleId="Style16">
    <w:name w:val="編號字元"/>
    <w:qFormat/>
    <w:rPr/>
  </w:style>
  <w:style w:type="character" w:styleId="WWCharLFO4LVL1">
    <w:name w:val="WW_CharLFO4LVL1"/>
    <w:qFormat/>
    <w:rPr>
      <w:rFonts w:ascii="標楷體" w:hAnsi="標楷體"/>
    </w:rPr>
  </w:style>
  <w:style w:type="character" w:styleId="WWCharLFO6LVL1">
    <w:name w:val="WW_CharLFO6LVL1"/>
    <w:qFormat/>
    <w:rPr>
      <w:u w:val="single"/>
    </w:rPr>
  </w:style>
  <w:style w:type="character" w:styleId="WWCharLFO8LVL1">
    <w:name w:val="WW_CharLFO8LVL1"/>
    <w:qFormat/>
    <w:rPr>
      <w:lang w:val="en-US"/>
    </w:rPr>
  </w:style>
  <w:style w:type="character" w:styleId="WWCharLFO9LVL1">
    <w:name w:val="WW_CharLFO9LVL1"/>
    <w:qFormat/>
    <w:rPr>
      <w:rFonts w:ascii="標楷體" w:hAnsi="標楷體" w:cs="Times New Roman"/>
    </w:rPr>
  </w:style>
  <w:style w:type="character" w:styleId="WWCharLFO9LVL2">
    <w:name w:val="WW_CharLFO9LVL2"/>
    <w:qFormat/>
    <w:rPr>
      <w:rFonts w:cs="Times New Roman"/>
    </w:rPr>
  </w:style>
  <w:style w:type="character" w:styleId="WWCharLFO9LVL3">
    <w:name w:val="WW_CharLFO9LVL3"/>
    <w:qFormat/>
    <w:rPr>
      <w:rFonts w:cs="Times New Roman"/>
    </w:rPr>
  </w:style>
  <w:style w:type="character" w:styleId="WWCharLFO9LVL4">
    <w:name w:val="WW_CharLFO9LVL4"/>
    <w:qFormat/>
    <w:rPr>
      <w:rFonts w:cs="Times New Roman"/>
    </w:rPr>
  </w:style>
  <w:style w:type="character" w:styleId="WWCharLFO9LVL5">
    <w:name w:val="WW_CharLFO9LVL5"/>
    <w:qFormat/>
    <w:rPr>
      <w:rFonts w:cs="Times New Roman"/>
    </w:rPr>
  </w:style>
  <w:style w:type="character" w:styleId="WWCharLFO9LVL6">
    <w:name w:val="WW_CharLFO9LVL6"/>
    <w:qFormat/>
    <w:rPr>
      <w:rFonts w:cs="Times New Roman"/>
    </w:rPr>
  </w:style>
  <w:style w:type="character" w:styleId="WWCharLFO9LVL7">
    <w:name w:val="WW_CharLFO9LVL7"/>
    <w:qFormat/>
    <w:rPr>
      <w:rFonts w:cs="Times New Roman"/>
    </w:rPr>
  </w:style>
  <w:style w:type="character" w:styleId="WWCharLFO9LVL8">
    <w:name w:val="WW_CharLFO9LVL8"/>
    <w:qFormat/>
    <w:rPr>
      <w:rFonts w:cs="Times New Roman"/>
    </w:rPr>
  </w:style>
  <w:style w:type="character" w:styleId="WWCharLFO9LVL9">
    <w:name w:val="WW_CharLFO9LVL9"/>
    <w:qFormat/>
    <w:rPr>
      <w:rFonts w:cs="Times New Roman"/>
    </w:rPr>
  </w:style>
  <w:style w:type="paragraph" w:styleId="Style17">
    <w:name w:val="Body Text"/>
    <w:basedOn w:val="Normal"/>
    <w:pPr>
      <w:suppressAutoHyphens w:val="true"/>
      <w:snapToGrid w:val="false"/>
    </w:pPr>
    <w:rPr>
      <w:rFonts w:ascii="標楷體" w:hAnsi="標楷體" w:eastAsia="標楷體"/>
      <w:sz w:val="28"/>
    </w:rPr>
  </w:style>
  <w:style w:type="paragraph" w:styleId="Style18">
    <w:name w:val="標題"/>
    <w:basedOn w:val="Normal"/>
    <w:next w:val="Style17"/>
    <w:qFormat/>
    <w:pPr>
      <w:keepNext w:val="true"/>
      <w:suppressAutoHyphens w:val="true"/>
      <w:spacing w:before="240" w:after="120"/>
    </w:pPr>
    <w:rPr>
      <w:rFonts w:ascii="Liberation Sans" w:hAnsi="Liberation Sans" w:eastAsia="微軟正黑體" w:cs="Lucida Sans"/>
      <w:sz w:val="28"/>
      <w:szCs w:val="28"/>
    </w:rPr>
  </w:style>
  <w:style w:type="paragraph" w:styleId="Style19">
    <w:name w:val="List"/>
    <w:basedOn w:val="Style17"/>
    <w:pPr>
      <w:suppressAutoHyphens w:val="true"/>
    </w:pPr>
    <w:rPr>
      <w:rFonts w:cs="Lucida Sans"/>
    </w:rPr>
  </w:style>
  <w:style w:type="paragraph" w:styleId="Style20">
    <w:name w:val="標號"/>
    <w:basedOn w:val="Normal"/>
    <w:qFormat/>
    <w:pPr>
      <w:suppressLineNumbers/>
      <w:suppressAutoHyphens w:val="true"/>
      <w:spacing w:before="120" w:after="120"/>
    </w:pPr>
    <w:rPr>
      <w:rFonts w:cs="Lucida Sans"/>
      <w:i/>
      <w:iCs/>
    </w:rPr>
  </w:style>
  <w:style w:type="paragraph" w:styleId="Style21">
    <w:name w:val="索引"/>
    <w:basedOn w:val="Normal"/>
    <w:qFormat/>
    <w:pPr>
      <w:suppressLineNumbers/>
      <w:suppressAutoHyphens w:val="true"/>
    </w:pPr>
    <w:rPr>
      <w:rFonts w:cs="Lucida Sans"/>
    </w:rPr>
  </w:style>
  <w:style w:type="paragraph" w:styleId="Style22">
    <w:name w:val="Body Text Indent"/>
    <w:basedOn w:val="Normal"/>
    <w:pPr>
      <w:tabs>
        <w:tab w:val="clear" w:pos="480"/>
      </w:tabs>
      <w:suppressAutoHyphens w:val="true"/>
      <w:kinsoku w:val="false"/>
      <w:snapToGrid w:val="false"/>
      <w:ind w:left="800" w:firstLine="600"/>
      <w:jc w:val="both"/>
    </w:pPr>
    <w:rPr>
      <w:rFonts w:eastAsia="標楷體"/>
      <w:sz w:val="28"/>
    </w:rPr>
  </w:style>
  <w:style w:type="paragraph" w:styleId="3">
    <w:name w:val="本文縮排 3"/>
    <w:basedOn w:val="Normal"/>
    <w:qFormat/>
    <w:pPr>
      <w:tabs>
        <w:tab w:val="clear" w:pos="480"/>
      </w:tabs>
      <w:suppressAutoHyphens w:val="true"/>
      <w:kinsoku w:val="false"/>
      <w:ind w:left="1080" w:firstLine="600"/>
      <w:jc w:val="both"/>
    </w:pPr>
    <w:rPr>
      <w:rFonts w:eastAsia="標楷體"/>
      <w:sz w:val="28"/>
      <w:szCs w:val="20"/>
    </w:rPr>
  </w:style>
  <w:style w:type="paragraph" w:styleId="2">
    <w:name w:val="本文縮排 2"/>
    <w:basedOn w:val="Normal"/>
    <w:qFormat/>
    <w:pPr>
      <w:tabs>
        <w:tab w:val="clear" w:pos="480"/>
      </w:tabs>
      <w:suppressAutoHyphens w:val="true"/>
      <w:kinsoku w:val="false"/>
      <w:snapToGrid w:val="false"/>
      <w:ind w:left="2600" w:hanging="734"/>
      <w:jc w:val="both"/>
    </w:pPr>
    <w:rPr>
      <w:rFonts w:ascii="標楷體" w:hAnsi="標楷體" w:eastAsia="標楷體"/>
      <w:sz w:val="28"/>
    </w:rPr>
  </w:style>
  <w:style w:type="paragraph" w:styleId="Style23">
    <w:name w:val="頁首與頁尾"/>
    <w:basedOn w:val="Normal"/>
    <w:qFormat/>
    <w:pPr>
      <w:suppressLineNumbers/>
      <w:tabs>
        <w:tab w:val="clear" w:pos="480"/>
        <w:tab w:val="center" w:pos="4819" w:leader="none"/>
        <w:tab w:val="right" w:pos="9638" w:leader="none"/>
      </w:tabs>
    </w:pPr>
    <w:rPr/>
  </w:style>
  <w:style w:type="paragraph" w:styleId="Style24">
    <w:name w:val="Footer"/>
    <w:basedOn w:val="Normal"/>
    <w:pPr>
      <w:tabs>
        <w:tab w:val="clear" w:pos="480"/>
        <w:tab w:val="center" w:pos="4153" w:leader="none"/>
        <w:tab w:val="right" w:pos="8306" w:leader="none"/>
      </w:tabs>
      <w:suppressAutoHyphens w:val="true"/>
      <w:snapToGrid w:val="false"/>
    </w:pPr>
    <w:rPr>
      <w:sz w:val="20"/>
      <w:szCs w:val="20"/>
    </w:rPr>
  </w:style>
  <w:style w:type="paragraph" w:styleId="Style25">
    <w:name w:val="純文字"/>
    <w:basedOn w:val="Normal"/>
    <w:qFormat/>
    <w:pPr>
      <w:suppressAutoHyphens w:val="true"/>
      <w:spacing w:lineRule="atLeast" w:line="360"/>
    </w:pPr>
    <w:rPr>
      <w:rFonts w:ascii="細明體;MingLiU" w:hAnsi="細明體;MingLiU" w:eastAsia="細明體;MingLiU" w:cs="Courier New"/>
      <w:szCs w:val="20"/>
    </w:rPr>
  </w:style>
  <w:style w:type="paragraph" w:styleId="21">
    <w:name w:val="本文 2"/>
    <w:basedOn w:val="Normal"/>
    <w:qFormat/>
    <w:pPr>
      <w:suppressAutoHyphens w:val="true"/>
      <w:kinsoku w:val="false"/>
      <w:snapToGrid w:val="false"/>
      <w:jc w:val="both"/>
    </w:pPr>
    <w:rPr>
      <w:rFonts w:ascii="標楷體" w:hAnsi="標楷體" w:eastAsia="標楷體"/>
      <w:sz w:val="28"/>
    </w:rPr>
  </w:style>
  <w:style w:type="paragraph" w:styleId="Style26">
    <w:name w:val="區塊文字"/>
    <w:basedOn w:val="Normal"/>
    <w:qFormat/>
    <w:pPr>
      <w:tabs>
        <w:tab w:val="clear" w:pos="480"/>
      </w:tabs>
      <w:suppressAutoHyphens w:val="true"/>
      <w:kinsoku w:val="false"/>
      <w:snapToGrid w:val="false"/>
      <w:ind w:left="1453" w:right="151" w:hanging="900"/>
      <w:jc w:val="both"/>
    </w:pPr>
    <w:rPr>
      <w:rFonts w:ascii="標楷體" w:hAnsi="標楷體" w:eastAsia="標楷體"/>
      <w:sz w:val="28"/>
    </w:rPr>
  </w:style>
  <w:style w:type="paragraph" w:styleId="31">
    <w:name w:val="本文 3"/>
    <w:basedOn w:val="Normal"/>
    <w:qFormat/>
    <w:pPr>
      <w:suppressAutoHyphens w:val="true"/>
      <w:kinsoku w:val="false"/>
      <w:snapToGrid w:val="false"/>
      <w:spacing w:lineRule="atLeast" w:line="360"/>
      <w:ind w:right="151" w:hanging="0"/>
      <w:jc w:val="both"/>
    </w:pPr>
    <w:rPr>
      <w:rFonts w:ascii="標楷體" w:hAnsi="標楷體" w:eastAsia="標楷體"/>
      <w:sz w:val="28"/>
    </w:rPr>
  </w:style>
  <w:style w:type="paragraph" w:styleId="Style27">
    <w:name w:val="Header"/>
    <w:basedOn w:val="Normal"/>
    <w:pPr>
      <w:tabs>
        <w:tab w:val="clear" w:pos="480"/>
        <w:tab w:val="center" w:pos="4153" w:leader="none"/>
        <w:tab w:val="right" w:pos="8306" w:leader="none"/>
      </w:tabs>
      <w:suppressAutoHyphens w:val="true"/>
      <w:snapToGrid w:val="false"/>
    </w:pPr>
    <w:rPr>
      <w:sz w:val="20"/>
      <w:szCs w:val="20"/>
    </w:rPr>
  </w:style>
  <w:style w:type="paragraph" w:styleId="X05">
    <w:name w:val="第x條(距0縮體5)"/>
    <w:basedOn w:val="Normal"/>
    <w:qFormat/>
    <w:pPr>
      <w:tabs>
        <w:tab w:val="clear" w:pos="480"/>
      </w:tabs>
      <w:suppressAutoHyphens w:val="true"/>
      <w:spacing w:lineRule="exact" w:line="440"/>
      <w:ind w:left="1340" w:hanging="1340"/>
      <w:jc w:val="both"/>
    </w:pPr>
    <w:rPr>
      <w:rFonts w:ascii="標楷體" w:hAnsi="標楷體" w:eastAsia="標楷體"/>
      <w:spacing w:val="4"/>
      <w:kern w:val="0"/>
      <w:sz w:val="26"/>
    </w:rPr>
  </w:style>
  <w:style w:type="paragraph" w:styleId="72">
    <w:name w:val="距7縮體2"/>
    <w:basedOn w:val="X05"/>
    <w:qFormat/>
    <w:pPr>
      <w:suppressAutoHyphens w:val="true"/>
      <w:ind w:left="2408" w:hanging="536"/>
    </w:pPr>
    <w:rPr/>
  </w:style>
  <w:style w:type="paragraph" w:styleId="721">
    <w:name w:val="距7縮頭2"/>
    <w:basedOn w:val="72"/>
    <w:qFormat/>
    <w:pPr>
      <w:suppressAutoHyphens w:val="true"/>
      <w:ind w:left="1392" w:firstLine="536"/>
    </w:pPr>
    <w:rPr/>
  </w:style>
  <w:style w:type="paragraph" w:styleId="Style28">
    <w:name w:val="註解方塊文字"/>
    <w:basedOn w:val="Normal"/>
    <w:qFormat/>
    <w:pPr>
      <w:suppressAutoHyphens w:val="true"/>
    </w:pPr>
    <w:rPr>
      <w:rFonts w:ascii="Arial" w:hAnsi="Arial" w:cs="Arial"/>
      <w:sz w:val="18"/>
      <w:szCs w:val="18"/>
    </w:rPr>
  </w:style>
  <w:style w:type="paragraph" w:styleId="Style29">
    <w:name w:val="公文(主旨)"/>
    <w:basedOn w:val="Normal"/>
    <w:qFormat/>
    <w:pPr>
      <w:tabs>
        <w:tab w:val="clear" w:pos="480"/>
      </w:tabs>
      <w:suppressAutoHyphens w:val="true"/>
      <w:kinsoku w:val="false"/>
      <w:snapToGrid w:val="false"/>
      <w:spacing w:lineRule="exact" w:line="500"/>
      <w:ind w:left="958" w:hanging="958"/>
    </w:pPr>
    <w:rPr>
      <w:rFonts w:ascii="標楷體" w:hAnsi="標楷體" w:eastAsia="標楷體" w:cs="標楷體"/>
      <w:sz w:val="32"/>
    </w:rPr>
  </w:style>
  <w:style w:type="paragraph" w:styleId="Style30">
    <w:name w:val="表格內容"/>
    <w:basedOn w:val="Normal"/>
    <w:qFormat/>
    <w:pPr>
      <w:suppressLineNumbers/>
      <w:suppressAutoHyphens w:val="true"/>
    </w:pPr>
    <w:rPr/>
  </w:style>
  <w:style w:type="paragraph" w:styleId="Style31">
    <w:name w:val="表格標題"/>
    <w:basedOn w:val="Style30"/>
    <w:qFormat/>
    <w:pPr>
      <w:suppressAutoHyphens w:val="true"/>
      <w:jc w:val="center"/>
    </w:pPr>
    <w:rPr>
      <w:b/>
      <w:bCs/>
    </w:rPr>
  </w:style>
  <w:style w:type="paragraph" w:styleId="Style32">
    <w:name w:val="外框內容"/>
    <w:basedOn w:val="Normal"/>
    <w:qFormat/>
    <w:pPr>
      <w:suppressAutoHyphens w:val="true"/>
    </w:pPr>
    <w:rPr/>
  </w:style>
  <w:style w:type="paragraph" w:styleId="DocumentMap">
    <w:name w:val="DocumentMap"/>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auto"/>
    </w:pPr>
    <w:rPr>
      <w:rFonts w:ascii="Times New Roman" w:hAnsi="Times New Roman" w:cs="Times New Roman" w:eastAsia="新細明體"/>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en-US" w:eastAsia="zh-TW"/>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202</TotalTime>
  <Application>NDC_ODF_Application_Tools_/3.3.3$Windows_X86_64 LibreOffice_project/1e1e6a7b6182699804c71e64ce03ac02dcaacc3f</Application>
  <AppVersion>15.0000</AppVersion>
  <Pages>4</Pages>
  <Words>385</Words>
  <Characters>2198</Characters>
  <CharactersWithSpaces>2578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2021-04-20T08:44:00Z</dcterms:created>
  <dc:creator>user</dc:creator>
  <dc:description/>
  <dc:language>zh-TW</dc:language>
  <cp:lastModifiedBy>tntb</cp:lastModifiedBy>
  <cp:lastPrinted>2021-10-14T07:35:00Z</cp:lastPrinted>
  <dcterms:modified xsi:type="dcterms:W3CDTF">2023-03-28T07:47:00Z</dcterms:modified>
  <cp:revision>1</cp:revision>
  <dc:subject/>
  <dc:title>財 政 收 支 劃 分 法 部 分 條 文 草 案 對 照 表</dc:title>
</cp:coreProperties>
</file>