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B7" w:rsidRPr="00596CB9" w:rsidRDefault="00D4723E">
      <w:pPr>
        <w:spacing w:before="36" w:line="399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 w:rsidRPr="00596CB9"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>臺</w:t>
      </w:r>
      <w:r w:rsidR="006B7353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南</w:t>
      </w:r>
      <w:r w:rsidRPr="00596CB9"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>市政府暨所屬機關</w:t>
      </w:r>
      <w:r w:rsid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平衡</w:t>
      </w:r>
      <w:r w:rsidR="00596CB9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主管</w:t>
      </w:r>
      <w:r w:rsidRPr="00596CB9"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>性別</w:t>
      </w:r>
      <w:r w:rsidR="0041338C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比例之</w:t>
      </w:r>
      <w:r w:rsidR="00596CB9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人事</w:t>
      </w:r>
      <w:r w:rsidR="000426D5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遷調</w:t>
      </w:r>
      <w:r w:rsidR="003317BF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原則</w:t>
      </w:r>
    </w:p>
    <w:p w:rsidR="00F215B7" w:rsidRPr="00DC4776" w:rsidRDefault="006B7353" w:rsidP="006B7353">
      <w:pPr>
        <w:spacing w:before="144" w:line="248" w:lineRule="exact"/>
        <w:ind w:right="-34"/>
        <w:jc w:val="right"/>
        <w:rPr>
          <w:rFonts w:ascii="標楷體" w:eastAsia="標楷體" w:hAnsi="標楷體"/>
          <w:color w:val="000000"/>
          <w:szCs w:val="20"/>
          <w:lang w:eastAsia="zh-TW"/>
        </w:rPr>
      </w:pPr>
      <w:r>
        <w:rPr>
          <w:rFonts w:ascii="標楷體" w:eastAsia="標楷體" w:hAnsi="標楷體" w:hint="eastAsia"/>
          <w:color w:val="000000"/>
          <w:szCs w:val="20"/>
          <w:lang w:eastAsia="zh-TW"/>
        </w:rPr>
        <w:t>民國107年</w:t>
      </w:r>
      <w:r w:rsidR="008C67A0">
        <w:rPr>
          <w:rFonts w:ascii="標楷體" w:eastAsia="標楷體" w:hAnsi="標楷體" w:hint="eastAsia"/>
          <w:color w:val="000000"/>
          <w:szCs w:val="20"/>
          <w:lang w:eastAsia="zh-TW"/>
        </w:rPr>
        <w:t>5</w:t>
      </w:r>
      <w:r>
        <w:rPr>
          <w:rFonts w:ascii="標楷體" w:eastAsia="標楷體" w:hAnsi="標楷體" w:hint="eastAsia"/>
          <w:color w:val="000000"/>
          <w:szCs w:val="20"/>
          <w:lang w:eastAsia="zh-TW"/>
        </w:rPr>
        <w:t>月</w:t>
      </w:r>
      <w:r w:rsidR="008C67A0">
        <w:rPr>
          <w:rFonts w:ascii="標楷體" w:eastAsia="標楷體" w:hAnsi="標楷體" w:hint="eastAsia"/>
          <w:color w:val="000000"/>
          <w:szCs w:val="20"/>
          <w:lang w:eastAsia="zh-TW"/>
        </w:rPr>
        <w:t>1</w:t>
      </w:r>
      <w:r w:rsidR="00062E8C">
        <w:rPr>
          <w:rFonts w:ascii="標楷體" w:eastAsia="標楷體" w:hAnsi="標楷體" w:hint="eastAsia"/>
          <w:color w:val="000000"/>
          <w:szCs w:val="20"/>
          <w:lang w:eastAsia="zh-TW"/>
        </w:rPr>
        <w:t>1</w:t>
      </w:r>
      <w:r>
        <w:rPr>
          <w:rFonts w:ascii="標楷體" w:eastAsia="標楷體" w:hAnsi="標楷體" w:hint="eastAsia"/>
          <w:color w:val="000000"/>
          <w:szCs w:val="20"/>
          <w:lang w:eastAsia="zh-TW"/>
        </w:rPr>
        <w:t>日</w:t>
      </w:r>
      <w:r w:rsidR="00D4723E" w:rsidRPr="00DC4776">
        <w:rPr>
          <w:rFonts w:ascii="標楷體" w:eastAsia="標楷體" w:hAnsi="標楷體"/>
          <w:color w:val="000000"/>
          <w:spacing w:val="20"/>
          <w:szCs w:val="20"/>
          <w:lang w:eastAsia="zh-TW"/>
        </w:rPr>
        <w:t>府人</w:t>
      </w:r>
      <w:r>
        <w:rPr>
          <w:rFonts w:ascii="標楷體" w:eastAsia="標楷體" w:hAnsi="標楷體" w:hint="eastAsia"/>
          <w:color w:val="000000"/>
          <w:spacing w:val="20"/>
          <w:szCs w:val="20"/>
          <w:lang w:eastAsia="zh-TW"/>
        </w:rPr>
        <w:t>力</w:t>
      </w:r>
      <w:r w:rsidR="00D4723E" w:rsidRPr="00DC4776">
        <w:rPr>
          <w:rFonts w:ascii="標楷體" w:eastAsia="標楷體" w:hAnsi="標楷體"/>
          <w:color w:val="000000"/>
          <w:spacing w:val="20"/>
          <w:szCs w:val="20"/>
          <w:lang w:eastAsia="zh-TW"/>
        </w:rPr>
        <w:t>字第</w:t>
      </w:r>
      <w:r w:rsidR="008C67A0" w:rsidRPr="008C67A0">
        <w:rPr>
          <w:rFonts w:ascii="標楷體" w:eastAsia="標楷體" w:hAnsi="標楷體"/>
          <w:color w:val="000000"/>
          <w:spacing w:val="20"/>
          <w:szCs w:val="20"/>
          <w:lang w:eastAsia="zh-TW"/>
        </w:rPr>
        <w:t>1070519148</w:t>
      </w:r>
      <w:r w:rsidR="00D4723E" w:rsidRPr="00DC4776">
        <w:rPr>
          <w:rFonts w:ascii="標楷體" w:eastAsia="標楷體" w:hAnsi="標楷體"/>
          <w:color w:val="000000"/>
          <w:spacing w:val="20"/>
          <w:szCs w:val="20"/>
          <w:lang w:eastAsia="zh-TW"/>
        </w:rPr>
        <w:t>號函訂定</w:t>
      </w:r>
    </w:p>
    <w:p w:rsidR="006B7353" w:rsidRDefault="006B7353" w:rsidP="00DC4776">
      <w:pPr>
        <w:ind w:left="567" w:right="74" w:hanging="567"/>
        <w:rPr>
          <w:rFonts w:ascii="標楷體" w:eastAsia="標楷體" w:hAnsi="標楷體"/>
          <w:color w:val="000000"/>
          <w:spacing w:val="29"/>
          <w:sz w:val="28"/>
          <w:szCs w:val="28"/>
          <w:lang w:eastAsia="zh-TW"/>
        </w:rPr>
      </w:pPr>
    </w:p>
    <w:p w:rsidR="00F215B7" w:rsidRPr="006B7353" w:rsidRDefault="00D4723E" w:rsidP="00081A7A">
      <w:pPr>
        <w:spacing w:line="440" w:lineRule="exact"/>
        <w:ind w:left="709" w:right="-34" w:hanging="709"/>
        <w:rPr>
          <w:rFonts w:ascii="標楷體" w:eastAsia="標楷體" w:hAnsi="標楷體"/>
          <w:color w:val="000000"/>
          <w:spacing w:val="29"/>
          <w:sz w:val="32"/>
          <w:szCs w:val="32"/>
          <w:lang w:eastAsia="zh-TW"/>
        </w:rPr>
      </w:pPr>
      <w:r w:rsidRPr="006B7353">
        <w:rPr>
          <w:rFonts w:ascii="標楷體" w:eastAsia="標楷體" w:hAnsi="標楷體"/>
          <w:color w:val="000000"/>
          <w:spacing w:val="29"/>
          <w:sz w:val="32"/>
          <w:szCs w:val="32"/>
          <w:lang w:eastAsia="zh-TW"/>
        </w:rPr>
        <w:t>一</w:t>
      </w:r>
      <w:r w:rsidR="00DC4776" w:rsidRPr="006B7353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、</w:t>
      </w:r>
      <w:r w:rsidRPr="006B7353">
        <w:rPr>
          <w:rFonts w:ascii="標楷體" w:eastAsia="標楷體" w:hAnsi="標楷體"/>
          <w:color w:val="000000"/>
          <w:spacing w:val="29"/>
          <w:sz w:val="32"/>
          <w:szCs w:val="32"/>
          <w:lang w:eastAsia="zh-TW"/>
        </w:rPr>
        <w:t>臺</w:t>
      </w:r>
      <w:r w:rsidR="006B7353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南</w:t>
      </w:r>
      <w:r w:rsidRPr="006B7353">
        <w:rPr>
          <w:rFonts w:ascii="標楷體" w:eastAsia="標楷體" w:hAnsi="標楷體"/>
          <w:color w:val="000000"/>
          <w:spacing w:val="29"/>
          <w:sz w:val="32"/>
          <w:szCs w:val="32"/>
          <w:lang w:eastAsia="zh-TW"/>
        </w:rPr>
        <w:t>市政府（以下簡稱本府）為</w:t>
      </w:r>
      <w:r w:rsidR="00EF6CF0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提升性別平等</w:t>
      </w:r>
      <w:r w:rsidR="007B2D5F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，</w:t>
      </w:r>
      <w:r w:rsidR="00794926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營造性別友善職場，</w:t>
      </w:r>
      <w:r w:rsidR="0047549F" w:rsidRPr="0047549F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確保婦女參與公務行政及決策領導之平等機會，縮短兩性主管比例上的差距，</w:t>
      </w:r>
      <w:r w:rsidR="00596CB9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以平衡各級主管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職務</w:t>
      </w:r>
      <w:r w:rsidR="007B2D5F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人員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進用之性別比例，</w:t>
      </w:r>
      <w:r w:rsidR="0047549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並</w:t>
      </w:r>
      <w:r w:rsidR="0047549F">
        <w:rPr>
          <w:rFonts w:ascii="標楷體" w:eastAsia="標楷體" w:hAnsi="標楷體" w:hint="eastAsia"/>
          <w:color w:val="000000"/>
          <w:spacing w:val="10"/>
          <w:sz w:val="32"/>
          <w:szCs w:val="32"/>
          <w:lang w:eastAsia="zh-TW"/>
        </w:rPr>
        <w:t>增進</w:t>
      </w:r>
      <w:r w:rsidR="0047549F"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首長用人之性別意識</w:t>
      </w:r>
      <w:r w:rsidR="0047549F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，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特訂定本</w:t>
      </w:r>
      <w:r w:rsidR="003B5BA1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原則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。</w:t>
      </w:r>
    </w:p>
    <w:p w:rsidR="00F215B7" w:rsidRPr="006B7353" w:rsidRDefault="00D4723E" w:rsidP="00081A7A">
      <w:pPr>
        <w:spacing w:line="440" w:lineRule="exact"/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</w:pPr>
      <w:r w:rsidRPr="006B7353">
        <w:rPr>
          <w:rFonts w:ascii="標楷體" w:eastAsia="標楷體" w:hAnsi="標楷體"/>
          <w:color w:val="000000"/>
          <w:spacing w:val="10"/>
          <w:sz w:val="32"/>
          <w:szCs w:val="32"/>
          <w:lang w:eastAsia="zh-TW"/>
        </w:rPr>
        <w:t>二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、</w:t>
      </w:r>
      <w:r w:rsidR="00596CB9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友善人事</w:t>
      </w:r>
      <w:r w:rsidR="0025576E" w:rsidRPr="0025576E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遷調</w:t>
      </w:r>
      <w:r w:rsidR="007A4443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原則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：</w:t>
      </w:r>
    </w:p>
    <w:p w:rsidR="00F215B7" w:rsidRDefault="00D4723E" w:rsidP="00081A7A">
      <w:pPr>
        <w:spacing w:line="440" w:lineRule="exact"/>
        <w:ind w:left="709" w:right="12"/>
        <w:jc w:val="both"/>
        <w:rPr>
          <w:rFonts w:ascii="標楷體" w:eastAsia="標楷體" w:hAnsi="標楷體"/>
          <w:color w:val="000000"/>
          <w:spacing w:val="10"/>
          <w:sz w:val="32"/>
          <w:szCs w:val="32"/>
          <w:lang w:eastAsia="zh-TW"/>
        </w:rPr>
      </w:pP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各機關</w:t>
      </w:r>
      <w:r w:rsidR="00FD5F26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辦理各級主管職務異動時，</w:t>
      </w: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應以機關內現有職員單一性別占機關人數比例為平衡目標</w:t>
      </w:r>
      <w:r w:rsidR="00FD5F26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，</w:t>
      </w:r>
      <w:r w:rsidR="00FD5F26"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並積極拔擢女性進入領導階層、推動機關內工作家庭平衡以提升女性爭取</w:t>
      </w:r>
      <w:r w:rsidR="00FD5F26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擔任</w:t>
      </w:r>
      <w:r w:rsidR="00FD5F26"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主管意願</w:t>
      </w:r>
      <w:r w:rsidR="00FD5F26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，</w:t>
      </w: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凡於</w:t>
      </w:r>
      <w:r w:rsidR="00AB5839" w:rsidRPr="00794926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辦理</w:t>
      </w:r>
      <w:r w:rsidR="00FD5F26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主管</w:t>
      </w:r>
      <w:r w:rsidR="00AB5839" w:rsidRPr="00794926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職務陞遷、調動</w:t>
      </w:r>
      <w:r w:rsidR="007B2D5F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或</w:t>
      </w:r>
      <w:r w:rsid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遴</w:t>
      </w:r>
      <w:r w:rsidR="00FD5F26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補</w:t>
      </w: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時，</w:t>
      </w:r>
      <w:r w:rsidR="00FA7FB0" w:rsidRPr="00FA7FB0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在候選人員資歷相當情形下，</w:t>
      </w: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適時提供首</w:t>
      </w:r>
      <w:r w:rsidR="00DC4776" w:rsidRPr="006B7353">
        <w:rPr>
          <w:rFonts w:ascii="標楷體" w:eastAsia="標楷體" w:hAnsi="標楷體"/>
          <w:color w:val="000000"/>
          <w:spacing w:val="39"/>
          <w:sz w:val="32"/>
          <w:szCs w:val="32"/>
          <w:lang w:eastAsia="zh-TW"/>
        </w:rPr>
        <w:t>長</w:t>
      </w:r>
      <w:r w:rsidR="0006317A">
        <w:rPr>
          <w:rFonts w:ascii="標楷體" w:eastAsia="標楷體" w:hAnsi="標楷體" w:hint="eastAsia"/>
          <w:color w:val="000000"/>
          <w:spacing w:val="39"/>
          <w:sz w:val="32"/>
          <w:szCs w:val="32"/>
          <w:lang w:eastAsia="zh-TW"/>
        </w:rPr>
        <w:t>了解</w:t>
      </w:r>
      <w:r w:rsidR="00DC4776" w:rsidRPr="006B7353">
        <w:rPr>
          <w:rFonts w:ascii="標楷體" w:eastAsia="標楷體" w:hAnsi="標楷體"/>
          <w:color w:val="000000"/>
          <w:spacing w:val="39"/>
          <w:sz w:val="32"/>
          <w:szCs w:val="32"/>
          <w:lang w:eastAsia="zh-TW"/>
        </w:rPr>
        <w:t>機</w:t>
      </w:r>
      <w:r w:rsidR="00DC4776" w:rsidRPr="006B7353">
        <w:rPr>
          <w:rFonts w:ascii="標楷體" w:eastAsia="標楷體" w:hAnsi="標楷體" w:hint="eastAsia"/>
          <w:color w:val="000000"/>
          <w:spacing w:val="39"/>
          <w:sz w:val="32"/>
          <w:szCs w:val="32"/>
          <w:lang w:eastAsia="zh-TW"/>
        </w:rPr>
        <w:t>關</w:t>
      </w:r>
      <w:r w:rsidR="00794926">
        <w:rPr>
          <w:rFonts w:ascii="標楷體" w:eastAsia="標楷體" w:hAnsi="標楷體" w:hint="eastAsia"/>
          <w:color w:val="000000"/>
          <w:spacing w:val="39"/>
          <w:sz w:val="32"/>
          <w:szCs w:val="32"/>
          <w:lang w:eastAsia="zh-TW"/>
        </w:rPr>
        <w:t>各</w:t>
      </w:r>
      <w:r w:rsidRPr="006B7353">
        <w:rPr>
          <w:rFonts w:ascii="標楷體" w:eastAsia="標楷體" w:hAnsi="標楷體"/>
          <w:color w:val="000000"/>
          <w:spacing w:val="39"/>
          <w:sz w:val="32"/>
          <w:szCs w:val="32"/>
          <w:lang w:eastAsia="zh-TW"/>
        </w:rPr>
        <w:t>職務性別比例</w:t>
      </w:r>
      <w:r w:rsidR="007B2D5F">
        <w:rPr>
          <w:rFonts w:ascii="標楷體" w:eastAsia="標楷體" w:hAnsi="標楷體" w:hint="eastAsia"/>
          <w:color w:val="000000"/>
          <w:spacing w:val="39"/>
          <w:sz w:val="32"/>
          <w:szCs w:val="32"/>
          <w:lang w:eastAsia="zh-TW"/>
        </w:rPr>
        <w:t>現況</w:t>
      </w:r>
      <w:r w:rsidRPr="006B7353">
        <w:rPr>
          <w:rFonts w:ascii="標楷體" w:eastAsia="標楷體" w:hAnsi="標楷體"/>
          <w:color w:val="000000"/>
          <w:spacing w:val="39"/>
          <w:sz w:val="32"/>
          <w:szCs w:val="32"/>
          <w:lang w:eastAsia="zh-TW"/>
        </w:rPr>
        <w:t>，並依公務人員陞遷法相關規</w:t>
      </w:r>
      <w:r w:rsidRPr="006B7353">
        <w:rPr>
          <w:rFonts w:ascii="標楷體" w:eastAsia="標楷體" w:hAnsi="標楷體"/>
          <w:color w:val="000000"/>
          <w:spacing w:val="10"/>
          <w:sz w:val="32"/>
          <w:szCs w:val="32"/>
          <w:lang w:eastAsia="zh-TW"/>
        </w:rPr>
        <w:t>定，辦理優先陞遷</w:t>
      </w:r>
      <w:r w:rsidR="007B2D5F">
        <w:rPr>
          <w:rFonts w:ascii="標楷體" w:eastAsia="標楷體" w:hAnsi="標楷體" w:hint="eastAsia"/>
          <w:color w:val="000000"/>
          <w:spacing w:val="10"/>
          <w:sz w:val="32"/>
          <w:szCs w:val="32"/>
          <w:lang w:eastAsia="zh-TW"/>
        </w:rPr>
        <w:t>，其相關人事</w:t>
      </w:r>
      <w:r w:rsidR="0006317A" w:rsidRPr="0006317A">
        <w:rPr>
          <w:rFonts w:ascii="標楷體" w:eastAsia="標楷體" w:hAnsi="標楷體" w:hint="eastAsia"/>
          <w:color w:val="000000"/>
          <w:spacing w:val="10"/>
          <w:sz w:val="32"/>
          <w:szCs w:val="32"/>
          <w:lang w:eastAsia="zh-TW"/>
        </w:rPr>
        <w:t>遷調</w:t>
      </w:r>
      <w:r w:rsidR="007A4443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原則</w:t>
      </w:r>
      <w:r w:rsidR="007B2D5F">
        <w:rPr>
          <w:rFonts w:ascii="標楷體" w:eastAsia="標楷體" w:hAnsi="標楷體" w:hint="eastAsia"/>
          <w:color w:val="000000"/>
          <w:spacing w:val="10"/>
          <w:sz w:val="32"/>
          <w:szCs w:val="32"/>
          <w:lang w:eastAsia="zh-TW"/>
        </w:rPr>
        <w:t>如下</w:t>
      </w:r>
      <w:r w:rsidRPr="006B7353">
        <w:rPr>
          <w:rFonts w:ascii="標楷體" w:eastAsia="標楷體" w:hAnsi="標楷體"/>
          <w:color w:val="000000"/>
          <w:spacing w:val="10"/>
          <w:sz w:val="32"/>
          <w:szCs w:val="32"/>
          <w:lang w:eastAsia="zh-TW"/>
        </w:rPr>
        <w:t>：</w:t>
      </w:r>
    </w:p>
    <w:p w:rsidR="00067A0A" w:rsidRPr="00E150BE" w:rsidRDefault="00067A0A" w:rsidP="00081A7A">
      <w:pPr>
        <w:pStyle w:val="a9"/>
        <w:numPr>
          <w:ilvl w:val="0"/>
          <w:numId w:val="2"/>
        </w:numPr>
        <w:spacing w:line="440" w:lineRule="exact"/>
        <w:ind w:leftChars="0" w:right="12"/>
        <w:jc w:val="both"/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</w:pPr>
      <w:r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辦理</w:t>
      </w:r>
      <w:r w:rsid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簡任職務</w:t>
      </w:r>
      <w:r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任免遷調案時，提供機關內相關職務目前進用之男性、女性人數</w:t>
      </w:r>
      <w:r w:rsidR="00E150BE"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供首長評分參</w:t>
      </w:r>
      <w:bookmarkStart w:id="0" w:name="_GoBack"/>
      <w:bookmarkEnd w:id="0"/>
      <w:r w:rsidR="00E150BE"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考</w:t>
      </w:r>
      <w:r w:rsid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，並</w:t>
      </w:r>
      <w:r w:rsidR="00E150BE"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建請</w:t>
      </w:r>
      <w:r w:rsid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首長</w:t>
      </w:r>
      <w:r w:rsidR="00E150BE"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優先晉升少數性別</w:t>
      </w:r>
      <w:r w:rsidR="001D3098"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(女性或男性)</w:t>
      </w:r>
      <w:r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。</w:t>
      </w:r>
    </w:p>
    <w:p w:rsidR="00C5227F" w:rsidRDefault="008A338E" w:rsidP="0006317A">
      <w:pPr>
        <w:pStyle w:val="a9"/>
        <w:numPr>
          <w:ilvl w:val="0"/>
          <w:numId w:val="2"/>
        </w:numPr>
        <w:spacing w:line="440" w:lineRule="exact"/>
        <w:ind w:leftChars="0" w:right="12"/>
        <w:jc w:val="both"/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</w:pPr>
      <w:r w:rsidRPr="008A338E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積極拔擢女性</w:t>
      </w:r>
      <w:r w:rsidR="0006317A" w:rsidRPr="0006317A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人員</w:t>
      </w:r>
      <w:r w:rsidRPr="008A338E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進入領導階層，</w:t>
      </w:r>
      <w:r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於</w:t>
      </w:r>
      <w:r w:rsidR="00C5227F" w:rsidRPr="006E1ED6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股(課)長以上各</w:t>
      </w:r>
      <w:r w:rsidR="00C5227F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級</w:t>
      </w:r>
      <w:r w:rsidR="00C5227F" w:rsidRPr="006E1ED6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主管職務出缺，以其平時工作表現績優，具有特殊貢獻，或參加相當培育訓練者，本功績原則評審，優先拔擢陞遷，如在侯選人員資歷相當情形下，</w:t>
      </w:r>
      <w:r w:rsidR="00C5227F"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於考量機關性別比例現況後，建議優先晉升表現優異且具發展潛能之</w:t>
      </w:r>
      <w:r w:rsidR="00C5227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女性</w:t>
      </w:r>
      <w:r w:rsidR="0006317A" w:rsidRPr="0006317A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人員</w:t>
      </w:r>
      <w:r w:rsidR="00C5227F"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，</w:t>
      </w:r>
      <w:r w:rsidRPr="008A338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以提高女性擔任主管之機會。</w:t>
      </w:r>
    </w:p>
    <w:p w:rsidR="00067A0A" w:rsidRPr="006E1ED6" w:rsidRDefault="00067A0A" w:rsidP="0006317A">
      <w:pPr>
        <w:pStyle w:val="a9"/>
        <w:numPr>
          <w:ilvl w:val="0"/>
          <w:numId w:val="2"/>
        </w:numPr>
        <w:spacing w:line="440" w:lineRule="exact"/>
        <w:ind w:leftChars="0" w:right="12"/>
        <w:jc w:val="both"/>
        <w:rPr>
          <w:rFonts w:ascii="標楷體" w:eastAsia="標楷體" w:hAnsi="標楷體"/>
          <w:spacing w:val="27"/>
          <w:sz w:val="32"/>
          <w:szCs w:val="32"/>
          <w:lang w:eastAsia="zh-TW"/>
        </w:rPr>
      </w:pPr>
      <w:r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辦理職務陞遷、調動作業，於符合公務人員陞遷法規定前提</w:t>
      </w:r>
      <w:r w:rsidRPr="006E1ED6">
        <w:rPr>
          <w:rFonts w:ascii="標楷體" w:eastAsia="標楷體" w:hAnsi="標楷體" w:hint="eastAsia"/>
          <w:spacing w:val="27"/>
          <w:sz w:val="32"/>
          <w:szCs w:val="32"/>
          <w:lang w:eastAsia="zh-TW"/>
        </w:rPr>
        <w:t>下，適時提供女性</w:t>
      </w:r>
      <w:r w:rsidR="0006317A" w:rsidRPr="0006317A">
        <w:rPr>
          <w:rFonts w:ascii="標楷體" w:eastAsia="標楷體" w:hAnsi="標楷體" w:hint="eastAsia"/>
          <w:spacing w:val="27"/>
          <w:sz w:val="32"/>
          <w:szCs w:val="32"/>
          <w:lang w:eastAsia="zh-TW"/>
        </w:rPr>
        <w:t>人員</w:t>
      </w:r>
      <w:r w:rsidRPr="006E1ED6">
        <w:rPr>
          <w:rFonts w:ascii="標楷體" w:eastAsia="標楷體" w:hAnsi="標楷體" w:hint="eastAsia"/>
          <w:spacing w:val="27"/>
          <w:sz w:val="32"/>
          <w:szCs w:val="32"/>
          <w:lang w:eastAsia="zh-TW"/>
        </w:rPr>
        <w:t>離家工作且其家中有學齡前幼兒之情形予首長，作為職務調動參考。</w:t>
      </w:r>
    </w:p>
    <w:p w:rsidR="006E1ED6" w:rsidRPr="006E1ED6" w:rsidRDefault="008A338E" w:rsidP="0006317A">
      <w:pPr>
        <w:pStyle w:val="a9"/>
        <w:numPr>
          <w:ilvl w:val="0"/>
          <w:numId w:val="2"/>
        </w:numPr>
        <w:spacing w:line="440" w:lineRule="exact"/>
        <w:ind w:leftChars="0" w:right="12"/>
        <w:jc w:val="both"/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各機關對於</w:t>
      </w:r>
      <w:r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性別落差較大之專業領域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職務</w:t>
      </w:r>
      <w:r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(如工程、農業</w:t>
      </w:r>
      <w:r w:rsidR="008A0E38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等</w:t>
      </w:r>
      <w:r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)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，應適時</w:t>
      </w:r>
      <w:r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培植女性</w:t>
      </w:r>
      <w:r w:rsidR="0006317A" w:rsidRPr="0006317A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人員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於參加相關專業訓練及取得資格</w:t>
      </w:r>
      <w:r w:rsidRPr="008A338E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，以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平衡各領域職務</w:t>
      </w:r>
      <w:r w:rsidR="008A0E38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之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性別比例</w:t>
      </w:r>
      <w:r w:rsidRPr="006E1ED6">
        <w:rPr>
          <w:rFonts w:ascii="標楷體" w:eastAsia="標楷體" w:hAnsi="標楷體" w:hint="eastAsia"/>
          <w:spacing w:val="27"/>
          <w:sz w:val="32"/>
          <w:szCs w:val="32"/>
          <w:lang w:eastAsia="zh-TW"/>
        </w:rPr>
        <w:t>。</w:t>
      </w:r>
    </w:p>
    <w:p w:rsidR="00067A0A" w:rsidRPr="007B2D5F" w:rsidRDefault="00067A0A" w:rsidP="00081A7A">
      <w:pPr>
        <w:pStyle w:val="a9"/>
        <w:numPr>
          <w:ilvl w:val="0"/>
          <w:numId w:val="2"/>
        </w:numPr>
        <w:spacing w:line="440" w:lineRule="exact"/>
        <w:ind w:leftChars="0" w:left="709" w:right="12"/>
        <w:jc w:val="both"/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</w:pPr>
      <w:r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辦理</w:t>
      </w:r>
      <w:r w:rsidR="008A0E38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機關甄審</w:t>
      </w:r>
      <w:r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委員會改派時，考量任一性別有否符合法定性別比例。</w:t>
      </w:r>
    </w:p>
    <w:sectPr w:rsidR="00067A0A" w:rsidRPr="007B2D5F" w:rsidSect="00596CB9">
      <w:pgSz w:w="11918" w:h="16854"/>
      <w:pgMar w:top="1134" w:right="100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99" w:rsidRDefault="00553B99" w:rsidP="007F2746">
      <w:r>
        <w:separator/>
      </w:r>
    </w:p>
  </w:endnote>
  <w:endnote w:type="continuationSeparator" w:id="0">
    <w:p w:rsidR="00553B99" w:rsidRDefault="00553B99" w:rsidP="007F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MingLiU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99" w:rsidRDefault="00553B99" w:rsidP="007F2746">
      <w:r>
        <w:separator/>
      </w:r>
    </w:p>
  </w:footnote>
  <w:footnote w:type="continuationSeparator" w:id="0">
    <w:p w:rsidR="00553B99" w:rsidRDefault="00553B99" w:rsidP="007F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0C69"/>
    <w:multiLevelType w:val="hybridMultilevel"/>
    <w:tmpl w:val="981E4920"/>
    <w:lvl w:ilvl="0" w:tplc="BD18DECA">
      <w:start w:val="1"/>
      <w:numFmt w:val="taiwaneseCountingThousand"/>
      <w:lvlText w:val="(%1)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FD26FF"/>
    <w:multiLevelType w:val="hybridMultilevel"/>
    <w:tmpl w:val="A8A2F1D0"/>
    <w:lvl w:ilvl="0" w:tplc="4BFC8FD0">
      <w:start w:val="1"/>
      <w:numFmt w:val="taiwaneseCountingThousand"/>
      <w:lvlText w:val="（%1）"/>
      <w:lvlJc w:val="left"/>
      <w:pPr>
        <w:ind w:left="115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B7"/>
    <w:rsid w:val="000426D5"/>
    <w:rsid w:val="00062E8C"/>
    <w:rsid w:val="0006317A"/>
    <w:rsid w:val="00067A0A"/>
    <w:rsid w:val="00081A7A"/>
    <w:rsid w:val="001D3098"/>
    <w:rsid w:val="0025576E"/>
    <w:rsid w:val="002B11B5"/>
    <w:rsid w:val="002C0503"/>
    <w:rsid w:val="003317BF"/>
    <w:rsid w:val="003B5BA1"/>
    <w:rsid w:val="0041338C"/>
    <w:rsid w:val="0047549F"/>
    <w:rsid w:val="00493CF5"/>
    <w:rsid w:val="004F4FA3"/>
    <w:rsid w:val="00553B99"/>
    <w:rsid w:val="00596CB9"/>
    <w:rsid w:val="005D6A2A"/>
    <w:rsid w:val="006A537B"/>
    <w:rsid w:val="006B7353"/>
    <w:rsid w:val="006E1ED6"/>
    <w:rsid w:val="00712F6E"/>
    <w:rsid w:val="007937D6"/>
    <w:rsid w:val="00794926"/>
    <w:rsid w:val="007A4443"/>
    <w:rsid w:val="007B2D5F"/>
    <w:rsid w:val="007F2746"/>
    <w:rsid w:val="0087610C"/>
    <w:rsid w:val="008A0E38"/>
    <w:rsid w:val="008A338E"/>
    <w:rsid w:val="008C67A0"/>
    <w:rsid w:val="0096586F"/>
    <w:rsid w:val="00A43F8F"/>
    <w:rsid w:val="00AB5839"/>
    <w:rsid w:val="00BB5DCF"/>
    <w:rsid w:val="00BD70AF"/>
    <w:rsid w:val="00BE0CAF"/>
    <w:rsid w:val="00C5227F"/>
    <w:rsid w:val="00C67015"/>
    <w:rsid w:val="00D4723E"/>
    <w:rsid w:val="00DC4776"/>
    <w:rsid w:val="00DD77FE"/>
    <w:rsid w:val="00DD7ABD"/>
    <w:rsid w:val="00DE6E6E"/>
    <w:rsid w:val="00DF2E98"/>
    <w:rsid w:val="00E150BE"/>
    <w:rsid w:val="00EF6CF0"/>
    <w:rsid w:val="00F01C0A"/>
    <w:rsid w:val="00F13FD2"/>
    <w:rsid w:val="00F215B7"/>
    <w:rsid w:val="00FA7FB0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5FB5AA-6B91-46F2-A20C-155440D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7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7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27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49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2018-05-08T07:03:00Z</cp:lastPrinted>
  <dcterms:created xsi:type="dcterms:W3CDTF">2018-05-17T02:02:00Z</dcterms:created>
  <dcterms:modified xsi:type="dcterms:W3CDTF">2018-05-17T02:02:00Z</dcterms:modified>
</cp:coreProperties>
</file>