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1C" w:rsidRDefault="008C7E24" w:rsidP="008C7E24">
      <w:pPr>
        <w:jc w:val="center"/>
        <w:rPr>
          <w:rFonts w:ascii="標楷體" w:eastAsia="標楷體" w:cs="標楷體" w:hint="eastAsia"/>
          <w:kern w:val="0"/>
          <w:sz w:val="36"/>
          <w:szCs w:val="32"/>
          <w:lang w:val="zh-TW"/>
        </w:rPr>
      </w:pPr>
      <w:r w:rsidRPr="008C7E24">
        <w:rPr>
          <w:rFonts w:ascii="標楷體" w:eastAsia="標楷體" w:cs="標楷體" w:hint="eastAsia"/>
          <w:kern w:val="0"/>
          <w:sz w:val="36"/>
          <w:szCs w:val="32"/>
          <w:lang w:val="zh-TW"/>
        </w:rPr>
        <w:t>校園生活問卷施測說明</w:t>
      </w:r>
    </w:p>
    <w:tbl>
      <w:tblPr>
        <w:tblStyle w:val="a3"/>
        <w:tblW w:w="14850" w:type="dxa"/>
        <w:tblLayout w:type="fixed"/>
        <w:tblLook w:val="04A0"/>
      </w:tblPr>
      <w:tblGrid>
        <w:gridCol w:w="906"/>
        <w:gridCol w:w="2037"/>
        <w:gridCol w:w="10030"/>
        <w:gridCol w:w="1877"/>
      </w:tblGrid>
      <w:tr w:rsidR="008C7E24" w:rsidRPr="008C7E24" w:rsidTr="00A448D6">
        <w:trPr>
          <w:trHeight w:val="727"/>
        </w:trPr>
        <w:tc>
          <w:tcPr>
            <w:tcW w:w="906" w:type="dxa"/>
            <w:vAlign w:val="center"/>
          </w:tcPr>
          <w:p w:rsidR="008C7E24" w:rsidRPr="008C7E24" w:rsidRDefault="008C7E24" w:rsidP="008C7E24">
            <w:pPr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  <w:r w:rsidRPr="008C7E24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 w:eastAsia="zh-HK"/>
              </w:rPr>
              <w:t>序號</w:t>
            </w:r>
          </w:p>
        </w:tc>
        <w:tc>
          <w:tcPr>
            <w:tcW w:w="2037" w:type="dxa"/>
            <w:vAlign w:val="center"/>
          </w:tcPr>
          <w:p w:rsidR="008C7E24" w:rsidRPr="008C7E24" w:rsidRDefault="008C7E24" w:rsidP="008C7E24">
            <w:pPr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  <w:r w:rsidRPr="008C7E24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 w:eastAsia="zh-HK"/>
              </w:rPr>
              <w:t>問卷</w:t>
            </w:r>
            <w:r w:rsidR="00A448D6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 w:eastAsia="zh-HK"/>
              </w:rPr>
              <w:t>類別</w:t>
            </w:r>
          </w:p>
        </w:tc>
        <w:tc>
          <w:tcPr>
            <w:tcW w:w="10030" w:type="dxa"/>
            <w:vAlign w:val="center"/>
          </w:tcPr>
          <w:p w:rsidR="008C7E24" w:rsidRPr="008C7E24" w:rsidRDefault="008C7E24" w:rsidP="008C7E24">
            <w:pPr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  <w:r w:rsidRPr="008C7E24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/>
              </w:rPr>
              <w:t>施測說明</w:t>
            </w:r>
          </w:p>
        </w:tc>
        <w:tc>
          <w:tcPr>
            <w:tcW w:w="1877" w:type="dxa"/>
            <w:vAlign w:val="center"/>
          </w:tcPr>
          <w:p w:rsidR="008C7E24" w:rsidRPr="008C7E24" w:rsidRDefault="008C7E24" w:rsidP="008C7E24">
            <w:pPr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  <w:r w:rsidRPr="008C7E24">
              <w:rPr>
                <w:rFonts w:ascii="標楷體" w:eastAsia="標楷體" w:cs="標楷體" w:hint="eastAsia"/>
                <w:b/>
                <w:kern w:val="0"/>
                <w:sz w:val="28"/>
                <w:szCs w:val="28"/>
                <w:lang w:val="zh-TW" w:eastAsia="zh-HK"/>
              </w:rPr>
              <w:t>業務承辦人</w:t>
            </w:r>
          </w:p>
        </w:tc>
      </w:tr>
      <w:tr w:rsidR="008C7E24" w:rsidRPr="008C7E24" w:rsidTr="00A448D6">
        <w:trPr>
          <w:trHeight w:val="2704"/>
        </w:trPr>
        <w:tc>
          <w:tcPr>
            <w:tcW w:w="906" w:type="dxa"/>
            <w:vAlign w:val="center"/>
          </w:tcPr>
          <w:p w:rsidR="008C7E24" w:rsidRPr="008C7E24" w:rsidRDefault="008C7E24" w:rsidP="008C7E24">
            <w:pPr>
              <w:spacing w:line="40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1</w:t>
            </w:r>
          </w:p>
        </w:tc>
        <w:tc>
          <w:tcPr>
            <w:tcW w:w="2037" w:type="dxa"/>
            <w:vAlign w:val="center"/>
          </w:tcPr>
          <w:p w:rsidR="008C7E24" w:rsidRPr="008C7E24" w:rsidRDefault="008C7E24" w:rsidP="008C7E24">
            <w:pPr>
              <w:spacing w:line="40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生活問卷</w:t>
            </w:r>
          </w:p>
        </w:tc>
        <w:tc>
          <w:tcPr>
            <w:tcW w:w="10030" w:type="dxa"/>
          </w:tcPr>
          <w:p w:rsidR="008C7E24" w:rsidRPr="008C7E24" w:rsidRDefault="008C7E24" w:rsidP="004804FE">
            <w:pPr>
              <w:spacing w:line="44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施測完竣後，請貴校承辦人進入管理頁面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（</w:t>
            </w:r>
            <w:proofErr w:type="gramEnd"/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http://163.26.134.3/lifea/index.aspx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）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，下載貴校施測結果，據以填報「輔導計畫」（附件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），並將於第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8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題所填疑似個案學生列入追蹤輔導，提出輔導策略並執行（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務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依個案需求續處），並於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109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年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月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22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日前將輔導計畫核章後送本局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學輔校安科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（永華市政中心）方啟丞實習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校長彙辦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。</w:t>
            </w:r>
          </w:p>
        </w:tc>
        <w:tc>
          <w:tcPr>
            <w:tcW w:w="1877" w:type="dxa"/>
            <w:vAlign w:val="center"/>
          </w:tcPr>
          <w:p w:rsidR="00F379AF" w:rsidRDefault="00F379AF" w:rsidP="008C7E24">
            <w:pPr>
              <w:spacing w:line="400" w:lineRule="exact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方啟丞</w:t>
            </w:r>
          </w:p>
          <w:p w:rsidR="008C7E24" w:rsidRDefault="008C7E24" w:rsidP="008C7E24">
            <w:pPr>
              <w:spacing w:line="400" w:lineRule="exact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實習校長</w:t>
            </w:r>
          </w:p>
          <w:p w:rsidR="008C7E24" w:rsidRPr="008C7E24" w:rsidRDefault="008C7E24" w:rsidP="00F379AF">
            <w:pPr>
              <w:spacing w:line="40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電話：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06-2991111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分機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8</w:t>
            </w:r>
            <w:r w:rsidR="00F379AF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32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、網路電話：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995</w:t>
            </w:r>
            <w:r w:rsidR="00F379AF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18</w:t>
            </w:r>
          </w:p>
        </w:tc>
      </w:tr>
      <w:tr w:rsidR="008C7E24" w:rsidRPr="008C7E24" w:rsidTr="00A448D6">
        <w:trPr>
          <w:trHeight w:val="5282"/>
        </w:trPr>
        <w:tc>
          <w:tcPr>
            <w:tcW w:w="906" w:type="dxa"/>
            <w:vAlign w:val="center"/>
          </w:tcPr>
          <w:p w:rsidR="008C7E24" w:rsidRPr="008C7E24" w:rsidRDefault="008C7E24" w:rsidP="008C7E24">
            <w:pPr>
              <w:spacing w:line="40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2</w:t>
            </w:r>
          </w:p>
        </w:tc>
        <w:tc>
          <w:tcPr>
            <w:tcW w:w="2037" w:type="dxa"/>
            <w:vAlign w:val="center"/>
          </w:tcPr>
          <w:p w:rsidR="008C7E24" w:rsidRDefault="008C7E24" w:rsidP="008C7E24">
            <w:pPr>
              <w:spacing w:line="400" w:lineRule="exact"/>
              <w:jc w:val="center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網路成癮</w:t>
            </w:r>
          </w:p>
          <w:p w:rsidR="008C7E24" w:rsidRPr="008C7E24" w:rsidRDefault="008C7E24" w:rsidP="008C7E24">
            <w:pPr>
              <w:spacing w:line="40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問卷</w:t>
            </w:r>
          </w:p>
        </w:tc>
        <w:tc>
          <w:tcPr>
            <w:tcW w:w="10030" w:type="dxa"/>
            <w:vAlign w:val="center"/>
          </w:tcPr>
          <w:p w:rsidR="008C7E24" w:rsidRDefault="008C7E24" w:rsidP="008C7E2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施測完竣後，請依以下說明檢視貴校學生填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答旨揭問卷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篩選之「網路使用行為」問卷結果。</w:t>
            </w:r>
          </w:p>
          <w:p w:rsidR="008C7E24" w:rsidRDefault="008C7E24" w:rsidP="008C7E24">
            <w:pPr>
              <w:autoSpaceDE w:val="0"/>
              <w:autoSpaceDN w:val="0"/>
              <w:adjustRightInd w:val="0"/>
              <w:spacing w:line="400" w:lineRule="exact"/>
              <w:ind w:left="698" w:hangingChars="218" w:hanging="698"/>
              <w:jc w:val="both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１、「網路或智慧型手機／平板電腦使用行為」結果，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9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題中超過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題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含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題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填答「是」者，為「網路使用成癮高風險學生」。</w:t>
            </w:r>
          </w:p>
          <w:p w:rsidR="008C7E24" w:rsidRDefault="008C7E24" w:rsidP="008C7E24">
            <w:pPr>
              <w:autoSpaceDE w:val="0"/>
              <w:autoSpaceDN w:val="0"/>
              <w:adjustRightInd w:val="0"/>
              <w:spacing w:line="400" w:lineRule="exact"/>
              <w:ind w:left="698" w:hangingChars="218" w:hanging="698"/>
              <w:jc w:val="both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２、「智慧型手機／平板電腦使用行為」結果，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9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題中超過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題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含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題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填答「是」者，為「智慧型手機／平板電腦使用成癮高風險學生」。</w:t>
            </w:r>
          </w:p>
          <w:p w:rsidR="008C7E24" w:rsidRDefault="008C7E24" w:rsidP="008C7E24">
            <w:pPr>
              <w:autoSpaceDE w:val="0"/>
              <w:autoSpaceDN w:val="0"/>
              <w:adjustRightInd w:val="0"/>
              <w:spacing w:line="400" w:lineRule="exact"/>
              <w:ind w:left="698" w:hangingChars="218" w:hanging="698"/>
              <w:jc w:val="both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３、就上開高風險學生由各班導師關懷並進行初級輔導及追蹤，必要時轉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介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二級或三級輔導，請各校於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月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22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日前至本局資訊中心線上填報系統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（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編號：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11733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）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填報輔導情形。</w:t>
            </w:r>
          </w:p>
          <w:p w:rsidR="008C7E24" w:rsidRPr="008C7E24" w:rsidRDefault="008C7E24" w:rsidP="008C7E24">
            <w:pPr>
              <w:autoSpaceDE w:val="0"/>
              <w:autoSpaceDN w:val="0"/>
              <w:adjustRightInd w:val="0"/>
              <w:spacing w:line="400" w:lineRule="exact"/>
              <w:ind w:left="698" w:hangingChars="218" w:hanging="698"/>
              <w:jc w:val="both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４、為提升網路成癮辨識與輔導知能，請鼓勵所屬教師至教育部「教師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e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學院」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(https://ups.moe.edu.tw)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線上選修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「網路成癮的認識與輔導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課程編號：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01060418)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及「上網，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不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迷惘」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課程編號：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01040110)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研習。</w:t>
            </w:r>
          </w:p>
        </w:tc>
        <w:tc>
          <w:tcPr>
            <w:tcW w:w="1877" w:type="dxa"/>
            <w:vAlign w:val="center"/>
          </w:tcPr>
          <w:p w:rsidR="008C7E24" w:rsidRDefault="008C7E24" w:rsidP="008C7E24">
            <w:pPr>
              <w:spacing w:line="400" w:lineRule="exact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莊雅惠</w:t>
            </w:r>
          </w:p>
          <w:p w:rsidR="008C7E24" w:rsidRDefault="008C7E24" w:rsidP="008C7E24">
            <w:pPr>
              <w:spacing w:line="400" w:lineRule="exact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實習校長</w:t>
            </w:r>
          </w:p>
          <w:p w:rsidR="008C7E24" w:rsidRPr="008C7E24" w:rsidRDefault="008C7E24" w:rsidP="008C7E24">
            <w:pPr>
              <w:spacing w:line="40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電話：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06-2991111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分機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8671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、網路電話：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99526</w:t>
            </w:r>
          </w:p>
        </w:tc>
      </w:tr>
      <w:tr w:rsidR="00F379AF" w:rsidRPr="008C7E24" w:rsidTr="00A448D6">
        <w:trPr>
          <w:trHeight w:val="4101"/>
        </w:trPr>
        <w:tc>
          <w:tcPr>
            <w:tcW w:w="906" w:type="dxa"/>
            <w:vMerge w:val="restart"/>
            <w:vAlign w:val="center"/>
          </w:tcPr>
          <w:p w:rsidR="00F379AF" w:rsidRPr="008C7E24" w:rsidRDefault="00F379AF" w:rsidP="008C7E24">
            <w:pPr>
              <w:spacing w:line="40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lastRenderedPageBreak/>
              <w:t>3</w:t>
            </w:r>
          </w:p>
        </w:tc>
        <w:tc>
          <w:tcPr>
            <w:tcW w:w="2037" w:type="dxa"/>
            <w:vMerge w:val="restart"/>
            <w:vAlign w:val="center"/>
          </w:tcPr>
          <w:p w:rsidR="00F379AF" w:rsidRDefault="00F379AF" w:rsidP="008C7E24">
            <w:pPr>
              <w:spacing w:line="400" w:lineRule="exact"/>
              <w:jc w:val="center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友善校園</w:t>
            </w:r>
          </w:p>
          <w:p w:rsidR="00F379AF" w:rsidRPr="008C7E24" w:rsidRDefault="00F379AF" w:rsidP="008C7E24">
            <w:pPr>
              <w:spacing w:line="40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問卷</w:t>
            </w:r>
          </w:p>
        </w:tc>
        <w:tc>
          <w:tcPr>
            <w:tcW w:w="10030" w:type="dxa"/>
            <w:vAlign w:val="center"/>
          </w:tcPr>
          <w:p w:rsidR="00F379AF" w:rsidRDefault="00F379AF" w:rsidP="00F44389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１、性平問卷：</w:t>
            </w:r>
          </w:p>
          <w:p w:rsidR="00F379AF" w:rsidRDefault="00F379AF" w:rsidP="00F44389">
            <w:pPr>
              <w:autoSpaceDE w:val="0"/>
              <w:autoSpaceDN w:val="0"/>
              <w:adjustRightInd w:val="0"/>
              <w:spacing w:line="380" w:lineRule="exact"/>
              <w:ind w:leftChars="267" w:left="1342" w:hangingChars="219" w:hanging="701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１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施測完竣後，倘有疑似性別事件請依性別平等教育法第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21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條第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項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進行校安及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社政通報、召開性平會及調查程序等作業，亦請加強當事人輔導措施。</w:t>
            </w:r>
          </w:p>
          <w:p w:rsidR="00F379AF" w:rsidRDefault="00F379AF" w:rsidP="00F44389">
            <w:pPr>
              <w:autoSpaceDE w:val="0"/>
              <w:autoSpaceDN w:val="0"/>
              <w:adjustRightInd w:val="0"/>
              <w:spacing w:line="380" w:lineRule="exact"/>
              <w:ind w:leftChars="267" w:left="1342" w:hangingChars="219" w:hanging="701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２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學校人員通報義務產生之時點係「第一時間知悉疑似校園性別事件起計算」，應立即向學校防治規定所定權責人員通報，且不得以「再行瞭解」後，再作成「有無通報必要之決定」，亦不得另設調查機制，應由學校性平會處理。</w:t>
            </w:r>
          </w:p>
          <w:p w:rsidR="00F379AF" w:rsidRPr="008C7E24" w:rsidRDefault="00F379AF" w:rsidP="00F44389">
            <w:pPr>
              <w:autoSpaceDE w:val="0"/>
              <w:autoSpaceDN w:val="0"/>
              <w:adjustRightInd w:val="0"/>
              <w:spacing w:line="380" w:lineRule="exact"/>
              <w:ind w:leftChars="267" w:left="1342" w:hangingChars="219" w:hanging="701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３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請依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臺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南市政府教育局所屬學校辦理性侵害性騷擾或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性霸凌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預防教學注意要點規定，自行下載施測結果並保存一年。</w:t>
            </w:r>
          </w:p>
        </w:tc>
        <w:tc>
          <w:tcPr>
            <w:tcW w:w="1877" w:type="dxa"/>
            <w:vAlign w:val="center"/>
          </w:tcPr>
          <w:p w:rsidR="00F379AF" w:rsidRDefault="00F379AF" w:rsidP="008C7E24">
            <w:pPr>
              <w:spacing w:line="400" w:lineRule="exact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顏季柔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科員</w:t>
            </w:r>
          </w:p>
          <w:p w:rsidR="00F379AF" w:rsidRPr="008C7E24" w:rsidRDefault="00F379AF" w:rsidP="008C7E24">
            <w:pPr>
              <w:spacing w:line="40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電話：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06-299111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分機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8615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、網路電話：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99519</w:t>
            </w:r>
          </w:p>
        </w:tc>
      </w:tr>
      <w:tr w:rsidR="00F379AF" w:rsidRPr="008C7E24" w:rsidTr="00A448D6">
        <w:trPr>
          <w:trHeight w:val="5476"/>
        </w:trPr>
        <w:tc>
          <w:tcPr>
            <w:tcW w:w="906" w:type="dxa"/>
            <w:vMerge/>
            <w:vAlign w:val="center"/>
          </w:tcPr>
          <w:p w:rsidR="00F379AF" w:rsidRDefault="00F379AF" w:rsidP="008C7E24">
            <w:pPr>
              <w:spacing w:line="40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037" w:type="dxa"/>
            <w:vMerge/>
            <w:vAlign w:val="center"/>
          </w:tcPr>
          <w:p w:rsidR="00F379AF" w:rsidRDefault="00F379AF" w:rsidP="008C7E24">
            <w:pPr>
              <w:spacing w:line="400" w:lineRule="exact"/>
              <w:jc w:val="center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030" w:type="dxa"/>
            <w:vAlign w:val="center"/>
          </w:tcPr>
          <w:p w:rsidR="00F379AF" w:rsidRDefault="00F379AF" w:rsidP="00F44389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２、自傷／殺問卷：</w:t>
            </w:r>
          </w:p>
          <w:p w:rsidR="00F379AF" w:rsidRDefault="00F379AF" w:rsidP="00F44389">
            <w:pPr>
              <w:autoSpaceDE w:val="0"/>
              <w:autoSpaceDN w:val="0"/>
              <w:adjustRightInd w:val="0"/>
              <w:spacing w:line="380" w:lineRule="exact"/>
              <w:ind w:leftChars="267" w:left="1281" w:hangingChars="200" w:hanging="640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１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請就案生行為動機及原因查明瞭解後，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至校安中心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完成通報，並評估案生狀況，視案生需求依本市自殺通報及關懷自治條例通報衛生局。</w:t>
            </w:r>
          </w:p>
          <w:p w:rsidR="00F379AF" w:rsidRDefault="00F379AF" w:rsidP="00F44389">
            <w:pPr>
              <w:autoSpaceDE w:val="0"/>
              <w:autoSpaceDN w:val="0"/>
              <w:adjustRightInd w:val="0"/>
              <w:spacing w:line="380" w:lineRule="exact"/>
              <w:ind w:leftChars="267" w:left="1281" w:hangingChars="200" w:hanging="640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２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請持續追蹤案生狀態，加強促進心理健康輔導工作，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如需本局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學生輔導諮商中心派員協助，請洽該中心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（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電話：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06-2521083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）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；另針對其他學生亦應落實平時促進心理健康及生命教育宣導。</w:t>
            </w:r>
          </w:p>
          <w:p w:rsidR="00F379AF" w:rsidRDefault="00F379AF" w:rsidP="00F44389">
            <w:pPr>
              <w:autoSpaceDE w:val="0"/>
              <w:autoSpaceDN w:val="0"/>
              <w:adjustRightInd w:val="0"/>
              <w:spacing w:line="380" w:lineRule="exact"/>
              <w:ind w:leftChars="267" w:left="1281" w:hangingChars="200" w:hanging="640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３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請依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臺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南市政府教育局所屬學校處理校園內重大學生自傷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殺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事件注意要點規定，自行下載施測結果並保存一年。</w:t>
            </w:r>
          </w:p>
          <w:p w:rsidR="00F379AF" w:rsidRPr="008C7E24" w:rsidRDefault="00F379AF" w:rsidP="00F44389">
            <w:pPr>
              <w:autoSpaceDE w:val="0"/>
              <w:autoSpaceDN w:val="0"/>
              <w:adjustRightInd w:val="0"/>
              <w:spacing w:line="380" w:lineRule="exact"/>
              <w:ind w:leftChars="267" w:left="1281" w:hangingChars="200" w:hanging="640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４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該案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個月輔導期程結束後，請填具「個案輔導紀錄摘要暨評估報告表」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電子檔可至本局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/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學輔校安科</w:t>
            </w:r>
            <w:proofErr w:type="gramEnd"/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/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文件下載區下載，網址：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http://boe.tn.edu.tw)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，以密件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免備文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寄送本局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學輔校安科</w:t>
            </w:r>
            <w:proofErr w:type="gramEnd"/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永華市政中心)莊雅惠實習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校長彙辦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。</w:t>
            </w:r>
          </w:p>
        </w:tc>
        <w:tc>
          <w:tcPr>
            <w:tcW w:w="1877" w:type="dxa"/>
            <w:vAlign w:val="center"/>
          </w:tcPr>
          <w:p w:rsidR="00F379AF" w:rsidRDefault="00F379AF" w:rsidP="005B147A">
            <w:pPr>
              <w:spacing w:line="400" w:lineRule="exact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莊雅惠</w:t>
            </w:r>
          </w:p>
          <w:p w:rsidR="00F379AF" w:rsidRDefault="00F379AF" w:rsidP="005B147A">
            <w:pPr>
              <w:spacing w:line="400" w:lineRule="exact"/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實習校長</w:t>
            </w:r>
          </w:p>
          <w:p w:rsidR="00F379AF" w:rsidRPr="008C7E24" w:rsidRDefault="00F379AF" w:rsidP="005B147A">
            <w:pPr>
              <w:spacing w:line="400" w:lineRule="exac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電話：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06-2991111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分機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8671</w:t>
            </w: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、網路電話：</w: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t>99526</w:t>
            </w:r>
          </w:p>
        </w:tc>
      </w:tr>
    </w:tbl>
    <w:p w:rsidR="008C7E24" w:rsidRPr="008C7E24" w:rsidRDefault="008C7E24" w:rsidP="008C7E24">
      <w:pPr>
        <w:rPr>
          <w:rFonts w:ascii="標楷體" w:eastAsia="標楷體" w:cs="標楷體"/>
          <w:kern w:val="0"/>
          <w:sz w:val="36"/>
          <w:szCs w:val="32"/>
          <w:lang w:val="zh-TW"/>
        </w:rPr>
      </w:pPr>
    </w:p>
    <w:sectPr w:rsidR="008C7E24" w:rsidRPr="008C7E24" w:rsidSect="00F44389">
      <w:footerReference w:type="default" r:id="rId7"/>
      <w:pgSz w:w="16838" w:h="11906" w:orient="landscape"/>
      <w:pgMar w:top="1077" w:right="1134" w:bottom="107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9C" w:rsidRDefault="0082329C" w:rsidP="00F44389">
      <w:r>
        <w:separator/>
      </w:r>
    </w:p>
  </w:endnote>
  <w:endnote w:type="continuationSeparator" w:id="0">
    <w:p w:rsidR="0082329C" w:rsidRDefault="0082329C" w:rsidP="00F4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390251"/>
      <w:docPartObj>
        <w:docPartGallery w:val="Page Numbers (Bottom of Page)"/>
        <w:docPartUnique/>
      </w:docPartObj>
    </w:sdtPr>
    <w:sdtContent>
      <w:p w:rsidR="00F44389" w:rsidRDefault="00F44389">
        <w:pPr>
          <w:pStyle w:val="a6"/>
          <w:jc w:val="center"/>
        </w:pPr>
        <w:fldSimple w:instr=" PAGE   \* MERGEFORMAT ">
          <w:r w:rsidR="004804FE" w:rsidRPr="004804FE">
            <w:rPr>
              <w:noProof/>
              <w:lang w:val="zh-TW"/>
            </w:rPr>
            <w:t>3</w:t>
          </w:r>
        </w:fldSimple>
      </w:p>
    </w:sdtContent>
  </w:sdt>
  <w:p w:rsidR="00F44389" w:rsidRDefault="00F443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9C" w:rsidRDefault="0082329C" w:rsidP="00F44389">
      <w:r>
        <w:separator/>
      </w:r>
    </w:p>
  </w:footnote>
  <w:footnote w:type="continuationSeparator" w:id="0">
    <w:p w:rsidR="0082329C" w:rsidRDefault="0082329C" w:rsidP="00F44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E24"/>
    <w:rsid w:val="00227577"/>
    <w:rsid w:val="004804FE"/>
    <w:rsid w:val="005001E2"/>
    <w:rsid w:val="0082329C"/>
    <w:rsid w:val="008C7E24"/>
    <w:rsid w:val="00A448D6"/>
    <w:rsid w:val="00E8141C"/>
    <w:rsid w:val="00F379AF"/>
    <w:rsid w:val="00F4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4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443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3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25DEA-FED9-4D80-8DA7-A0C976F9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2020-03-31T00:55:00Z</dcterms:created>
  <dcterms:modified xsi:type="dcterms:W3CDTF">2020-03-31T01:07:00Z</dcterms:modified>
</cp:coreProperties>
</file>