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9" w:rsidRPr="00DD1E38" w:rsidRDefault="00E843B9" w:rsidP="005A4735">
      <w:pPr>
        <w:tabs>
          <w:tab w:val="left" w:pos="240"/>
          <w:tab w:val="left" w:pos="692"/>
          <w:tab w:val="left" w:pos="720"/>
        </w:tabs>
        <w:adjustRightInd w:val="0"/>
        <w:snapToGrid w:val="0"/>
        <w:spacing w:line="440" w:lineRule="exact"/>
        <w:jc w:val="center"/>
        <w:textAlignment w:val="baseline"/>
        <w:rPr>
          <w:rFonts w:ascii="標楷體" w:eastAsia="標楷體" w:hAnsi="Times New Roman"/>
          <w:bCs/>
          <w:sz w:val="40"/>
          <w:szCs w:val="40"/>
        </w:rPr>
      </w:pPr>
      <w:proofErr w:type="gramStart"/>
      <w:r w:rsidRPr="006205FD">
        <w:rPr>
          <w:rFonts w:ascii="標楷體" w:eastAsia="標楷體" w:hAnsi="Times New Roman" w:hint="eastAsia"/>
          <w:b/>
          <w:bCs/>
          <w:sz w:val="36"/>
          <w:szCs w:val="36"/>
        </w:rPr>
        <w:t>臺</w:t>
      </w:r>
      <w:proofErr w:type="gramEnd"/>
      <w:r w:rsidRPr="006205FD">
        <w:rPr>
          <w:rFonts w:ascii="標楷體" w:eastAsia="標楷體" w:hAnsi="Times New Roman" w:hint="eastAsia"/>
          <w:b/>
          <w:bCs/>
          <w:sz w:val="36"/>
          <w:szCs w:val="36"/>
        </w:rPr>
        <w:t>南市政府臨時人員工作</w:t>
      </w:r>
      <w:bookmarkStart w:id="0" w:name="_GoBack"/>
      <w:r w:rsidRPr="006205FD">
        <w:rPr>
          <w:rFonts w:ascii="標楷體" w:eastAsia="標楷體" w:hAnsi="Times New Roman" w:hint="eastAsia"/>
          <w:b/>
          <w:bCs/>
          <w:sz w:val="36"/>
          <w:szCs w:val="36"/>
        </w:rPr>
        <w:t>規則</w:t>
      </w:r>
      <w:r>
        <w:rPr>
          <w:rFonts w:ascii="標楷體" w:eastAsia="標楷體" w:hAnsi="Times New Roman" w:hint="eastAsia"/>
          <w:b/>
          <w:bCs/>
          <w:sz w:val="36"/>
          <w:szCs w:val="36"/>
        </w:rPr>
        <w:t>部分規定</w:t>
      </w:r>
      <w:r w:rsidRPr="006205FD">
        <w:rPr>
          <w:rFonts w:ascii="標楷體" w:eastAsia="標楷體" w:hAnsi="Times New Roman" w:hint="eastAsia"/>
          <w:b/>
          <w:bCs/>
          <w:sz w:val="36"/>
          <w:szCs w:val="36"/>
        </w:rPr>
        <w:t>修正對照表</w:t>
      </w:r>
    </w:p>
    <w:tbl>
      <w:tblPr>
        <w:tblW w:w="8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9"/>
        <w:gridCol w:w="2949"/>
        <w:gridCol w:w="2950"/>
      </w:tblGrid>
      <w:tr w:rsidR="00E843B9" w:rsidRPr="00B02950" w:rsidTr="00C531FD">
        <w:tc>
          <w:tcPr>
            <w:tcW w:w="2949" w:type="dxa"/>
            <w:vAlign w:val="center"/>
          </w:tcPr>
          <w:bookmarkEnd w:id="0"/>
          <w:p w:rsidR="00E843B9" w:rsidRPr="009B67BE" w:rsidRDefault="00E843B9" w:rsidP="005A4735">
            <w:pPr>
              <w:snapToGrid w:val="0"/>
              <w:spacing w:line="44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9B67BE">
              <w:rPr>
                <w:rFonts w:ascii="標楷體" w:eastAsia="標楷體" w:hAnsi="Times New Roman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Times New Roman" w:hint="eastAsia"/>
                <w:sz w:val="28"/>
                <w:szCs w:val="28"/>
              </w:rPr>
              <w:t>規定</w:t>
            </w:r>
          </w:p>
        </w:tc>
        <w:tc>
          <w:tcPr>
            <w:tcW w:w="2949" w:type="dxa"/>
            <w:vAlign w:val="center"/>
          </w:tcPr>
          <w:p w:rsidR="00E843B9" w:rsidRPr="009B67BE" w:rsidRDefault="00E843B9" w:rsidP="005A4735">
            <w:pPr>
              <w:snapToGrid w:val="0"/>
              <w:spacing w:line="44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9B67BE">
              <w:rPr>
                <w:rFonts w:ascii="標楷體" w:eastAsia="標楷體" w:hAnsi="Times New Roman" w:hint="eastAsia"/>
                <w:sz w:val="28"/>
                <w:szCs w:val="28"/>
              </w:rPr>
              <w:t>現行</w:t>
            </w:r>
            <w:r>
              <w:rPr>
                <w:rFonts w:ascii="標楷體" w:eastAsia="標楷體" w:hAnsi="Times New Roman" w:hint="eastAsia"/>
                <w:sz w:val="28"/>
                <w:szCs w:val="28"/>
              </w:rPr>
              <w:t>規定</w:t>
            </w:r>
          </w:p>
        </w:tc>
        <w:tc>
          <w:tcPr>
            <w:tcW w:w="2950" w:type="dxa"/>
            <w:vAlign w:val="center"/>
          </w:tcPr>
          <w:p w:rsidR="00E843B9" w:rsidRPr="009B67BE" w:rsidRDefault="00E843B9" w:rsidP="005A4735">
            <w:pPr>
              <w:snapToGrid w:val="0"/>
              <w:spacing w:line="440" w:lineRule="exact"/>
              <w:ind w:right="212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9B67BE">
              <w:rPr>
                <w:rFonts w:ascii="標楷體" w:eastAsia="標楷體" w:hAnsi="Times New Roman" w:hint="eastAsia"/>
                <w:sz w:val="28"/>
                <w:szCs w:val="28"/>
              </w:rPr>
              <w:t>說明</w:t>
            </w:r>
          </w:p>
        </w:tc>
      </w:tr>
      <w:tr w:rsidR="00E843B9" w:rsidRPr="00B02950" w:rsidTr="00C531FD">
        <w:trPr>
          <w:trHeight w:val="345"/>
        </w:trPr>
        <w:tc>
          <w:tcPr>
            <w:tcW w:w="2949" w:type="dxa"/>
          </w:tcPr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5D6E1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第十一條</w:t>
            </w:r>
          </w:p>
          <w:p w:rsidR="00E843B9" w:rsidRPr="00012DA9" w:rsidRDefault="00E843B9" w:rsidP="005A473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6E19"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本府如有調動臨時人員工作之必要時，應依下列原則為之</w:t>
            </w:r>
            <w:r w:rsidRPr="00012D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基於業務上所必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需</w:t>
            </w:r>
          </w:p>
          <w:p w:rsidR="00E843B9" w:rsidRPr="00012DA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對於工資及其他</w:t>
            </w:r>
            <w:proofErr w:type="gramStart"/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勞</w:t>
            </w:r>
            <w:proofErr w:type="gramEnd"/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動條件未作不利之</w:t>
            </w:r>
          </w:p>
          <w:p w:rsidR="00E843B9" w:rsidRPr="00012DA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變更。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調動後工作與原有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工作性質為其體能</w:t>
            </w:r>
          </w:p>
          <w:p w:rsidR="00E843B9" w:rsidRPr="00012DA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及技術所能勝任。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調動工作地點過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遠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，用人單位應予以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必要之協助。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五、不違背勞動契約。</w:t>
            </w:r>
          </w:p>
          <w:p w:rsidR="00E843B9" w:rsidRPr="00692885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  <w:r w:rsidRPr="00692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>六、考量臨時人員及</w:t>
            </w:r>
          </w:p>
          <w:p w:rsidR="00E843B9" w:rsidRPr="00692885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  <w:r w:rsidRPr="00097C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692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>其家庭之生活利</w:t>
            </w:r>
          </w:p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69288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69288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>益。</w:t>
            </w:r>
          </w:p>
        </w:tc>
        <w:tc>
          <w:tcPr>
            <w:tcW w:w="2949" w:type="dxa"/>
          </w:tcPr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5D6E1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第十一條</w:t>
            </w:r>
          </w:p>
          <w:p w:rsidR="00E843B9" w:rsidRPr="00012DA9" w:rsidRDefault="00E843B9" w:rsidP="005A473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6E19"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本府如有調動臨時人員工作之必要時，應依下列原則為之</w:t>
            </w:r>
            <w:r w:rsidRPr="00012D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基於業務上所必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需</w:t>
            </w:r>
          </w:p>
          <w:p w:rsidR="00E843B9" w:rsidRPr="00012DA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對於工資及其他</w:t>
            </w:r>
            <w:proofErr w:type="gramStart"/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勞</w:t>
            </w:r>
            <w:proofErr w:type="gramEnd"/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動條件未作不利之</w:t>
            </w:r>
          </w:p>
          <w:p w:rsidR="00E843B9" w:rsidRPr="00012DA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變更。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調動後工作與原有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工作性質為其體能</w:t>
            </w:r>
          </w:p>
          <w:p w:rsidR="00E843B9" w:rsidRPr="00012DA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及技術所能勝任。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四、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調動工作地點過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遠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，用人單位應予以</w:t>
            </w:r>
          </w:p>
          <w:p w:rsidR="00E843B9" w:rsidRDefault="00E843B9" w:rsidP="005A4735">
            <w:pPr>
              <w:widowControl/>
              <w:spacing w:line="440" w:lineRule="exact"/>
              <w:ind w:left="-28" w:right="11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012DA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必要之協助。</w:t>
            </w:r>
          </w:p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五、不違背勞動契約。</w:t>
            </w:r>
          </w:p>
        </w:tc>
        <w:tc>
          <w:tcPr>
            <w:tcW w:w="2950" w:type="dxa"/>
          </w:tcPr>
          <w:p w:rsidR="00E843B9" w:rsidRPr="00882818" w:rsidRDefault="00E843B9" w:rsidP="005A4735">
            <w:pPr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r w:rsidRPr="00A60E99">
              <w:rPr>
                <w:rFonts w:ascii="標楷體" w:eastAsia="標楷體" w:hAnsi="標楷體" w:hint="eastAsia"/>
                <w:sz w:val="28"/>
                <w:szCs w:val="28"/>
              </w:rPr>
              <w:t>動部以</w:t>
            </w:r>
            <w:smartTag w:uri="urn:schemas-microsoft-com:office:smarttags" w:element="chsdate">
              <w:smartTagPr>
                <w:attr w:name="Year" w:val="104"/>
                <w:attr w:name="Month" w:val="12"/>
                <w:attr w:name="Day" w:val="16"/>
                <w:attr w:name="IsLunarDate" w:val="False"/>
                <w:attr w:name="IsROCDate" w:val="False"/>
              </w:smartTagPr>
              <w:r w:rsidRPr="00A60E99">
                <w:rPr>
                  <w:rFonts w:ascii="標楷體" w:eastAsia="標楷體" w:hAnsi="標楷體" w:hint="eastAsia"/>
                  <w:sz w:val="28"/>
                  <w:szCs w:val="28"/>
                </w:rPr>
                <w:t>一百零四年十二月十六日</w:t>
              </w:r>
            </w:smartTag>
            <w:proofErr w:type="gramEnd"/>
            <w:r w:rsidRPr="00A60E99">
              <w:rPr>
                <w:rFonts w:ascii="標楷體" w:eastAsia="標楷體" w:hAnsi="標楷體" w:hint="eastAsia"/>
                <w:sz w:val="28"/>
                <w:szCs w:val="28"/>
              </w:rPr>
              <w:t>總統</w:t>
            </w:r>
            <w:proofErr w:type="gramStart"/>
            <w:r w:rsidRPr="00A60E99">
              <w:rPr>
                <w:rFonts w:ascii="標楷體" w:eastAsia="標楷體" w:hAnsi="標楷體" w:hint="eastAsia"/>
                <w:sz w:val="28"/>
                <w:szCs w:val="28"/>
              </w:rPr>
              <w:t>華總一義字第</w:t>
            </w:r>
            <w:r w:rsidRPr="00A60E99">
              <w:rPr>
                <w:rFonts w:ascii="標楷體" w:eastAsia="標楷體" w:hAnsi="標楷體"/>
                <w:sz w:val="28"/>
                <w:szCs w:val="28"/>
              </w:rPr>
              <w:t>10400146731</w:t>
            </w:r>
            <w:proofErr w:type="gramEnd"/>
            <w:r w:rsidRPr="00A60E99">
              <w:rPr>
                <w:rFonts w:ascii="標楷體" w:eastAsia="標楷體" w:hAnsi="標楷體" w:hint="eastAsia"/>
                <w:sz w:val="28"/>
                <w:szCs w:val="28"/>
              </w:rPr>
              <w:t>號令增訂第</w:t>
            </w:r>
            <w:r w:rsidRPr="00A60E99">
              <w:rPr>
                <w:rFonts w:ascii="標楷體" w:eastAsia="標楷體" w:hAnsi="標楷體"/>
                <w:sz w:val="28"/>
                <w:szCs w:val="28"/>
              </w:rPr>
              <w:t xml:space="preserve"> 10-1</w:t>
            </w:r>
            <w:r w:rsidRPr="00A60E99">
              <w:rPr>
                <w:rFonts w:ascii="標楷體" w:eastAsia="標楷體" w:hAnsi="標楷體" w:hint="eastAsia"/>
                <w:sz w:val="28"/>
                <w:szCs w:val="28"/>
              </w:rPr>
              <w:t>條條文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增訂本條第六款規定。</w:t>
            </w:r>
          </w:p>
        </w:tc>
      </w:tr>
      <w:tr w:rsidR="00E843B9" w:rsidRPr="00B02950" w:rsidTr="00C531FD">
        <w:trPr>
          <w:trHeight w:val="345"/>
        </w:trPr>
        <w:tc>
          <w:tcPr>
            <w:tcW w:w="2949" w:type="dxa"/>
          </w:tcPr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5D6E1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第三十一條</w:t>
            </w:r>
          </w:p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5D6E19"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  <w:t xml:space="preserve">    </w:t>
            </w:r>
            <w:r w:rsidRPr="005D6E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臨時人員結婚者給予婚假八日，工資照給</w:t>
            </w:r>
            <w:r w:rsidRPr="00022668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。前開</w:t>
            </w:r>
            <w:r w:rsidRPr="0002266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婚假</w:t>
            </w:r>
            <w:r w:rsidRPr="00022668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應自結婚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登記</w:t>
            </w:r>
            <w:r w:rsidRPr="00022668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日前十日起三個月內請畢。但經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機關首長</w:t>
            </w:r>
            <w:r w:rsidRPr="00022668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同意者，得於一年內請畢</w:t>
            </w:r>
            <w:r w:rsidRPr="00022668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  <w:tc>
          <w:tcPr>
            <w:tcW w:w="2949" w:type="dxa"/>
          </w:tcPr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5D6E1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第三十一條</w:t>
            </w:r>
          </w:p>
          <w:p w:rsidR="00E843B9" w:rsidRPr="005D6E1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rightChars="101" w:right="242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5D6E19">
              <w:rPr>
                <w:rFonts w:ascii="標楷體" w:eastAsia="標楷體" w:hAnsi="標楷體" w:cs="Arial Unicode MS"/>
                <w:b/>
                <w:kern w:val="0"/>
                <w:sz w:val="28"/>
                <w:szCs w:val="28"/>
              </w:rPr>
              <w:t xml:space="preserve">    </w:t>
            </w:r>
            <w:r w:rsidRPr="005D6E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臨時人員結婚者給予婚假八日，工資照給</w:t>
            </w:r>
            <w:r w:rsidRPr="006928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，並</w:t>
            </w:r>
            <w:r w:rsidRPr="0069288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自結婚登記日起一個月內請畢。</w:t>
            </w:r>
          </w:p>
        </w:tc>
        <w:tc>
          <w:tcPr>
            <w:tcW w:w="2950" w:type="dxa"/>
          </w:tcPr>
          <w:p w:rsidR="00E843B9" w:rsidRPr="00882818" w:rsidRDefault="00E843B9" w:rsidP="005A4735">
            <w:pPr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勞動部以</w:t>
            </w:r>
            <w:smartTag w:uri="urn:schemas-microsoft-com:office:smarttags" w:element="chsdate">
              <w:smartTagPr>
                <w:attr w:name="Year" w:val="104"/>
                <w:attr w:name="Month" w:val="10"/>
                <w:attr w:name="Day" w:val="7"/>
                <w:attr w:name="IsLunarDate" w:val="False"/>
                <w:attr w:name="IsROCDate" w:val="False"/>
              </w:smartTagPr>
              <w:r w:rsidRPr="00A60E99">
                <w:rPr>
                  <w:rFonts w:ascii="標楷體" w:eastAsia="標楷體" w:hAnsi="標楷體" w:hint="eastAsia"/>
                  <w:sz w:val="28"/>
                  <w:szCs w:val="28"/>
                </w:rPr>
                <w:t>一百零四年十月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七</w:t>
              </w:r>
              <w:r w:rsidRPr="00A60E99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勞動條三字第</w:t>
            </w:r>
            <w:r>
              <w:rPr>
                <w:rFonts w:ascii="標楷體" w:eastAsia="標楷體" w:hAnsi="標楷體"/>
                <w:sz w:val="28"/>
                <w:szCs w:val="28"/>
              </w:rPr>
              <w:t>1040130270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號令核釋婚假之申請期限，為資配合，爰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修訂本條規定。</w:t>
            </w:r>
          </w:p>
        </w:tc>
      </w:tr>
      <w:tr w:rsidR="00E843B9" w:rsidRPr="00B02950" w:rsidTr="00C531FD">
        <w:trPr>
          <w:trHeight w:val="345"/>
        </w:trPr>
        <w:tc>
          <w:tcPr>
            <w:tcW w:w="2949" w:type="dxa"/>
          </w:tcPr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第三十三條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女性臨時人員分娩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前後，應停止工作，給予產假八星期；妊娠三個月以上流產者，應停止工作，給予產假四星期；妊娠二個月以上未滿三個月流產者，應停止工作，給予產假一星期；妊娠未滿二個月流產者，應停止工作，給予產假五日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前項產假包含例假日、紀念日、勞動節日及其他由中央主管機關規定應放假之日。</w:t>
            </w:r>
            <w:r w:rsidRPr="00892B1A">
              <w:rPr>
                <w:rFonts w:ascii="標楷體" w:eastAsia="標楷體" w:hAnsi="標楷體" w:hint="eastAsia"/>
                <w:sz w:val="28"/>
                <w:szCs w:val="28"/>
              </w:rPr>
              <w:t>分娩假及流產假應一次請畢。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臨時人員受僱六個月以上者，第一項停止工作期間工資照給；未滿六個月者減半發給。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臨時人員妊娠期間，應給予產檢假五日。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臨時人員於其配偶分娩時，給予陪產假五日，得分次申請，但應於配偶</w:t>
            </w:r>
            <w:r w:rsidRPr="00892B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分娩之當日及其前後合計十五日期間內，擇其中之五日請假。</w:t>
            </w:r>
          </w:p>
          <w:p w:rsidR="00E843B9" w:rsidRPr="00EB0C13" w:rsidRDefault="00E843B9" w:rsidP="005A473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陪產假、產檢假期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間工資照給。</w:t>
            </w:r>
          </w:p>
        </w:tc>
        <w:tc>
          <w:tcPr>
            <w:tcW w:w="2949" w:type="dxa"/>
          </w:tcPr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第三十三條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女性臨時人員分娩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前後，應停止工作，給予產假八星期；妊娠三個月以上流產者，應停止工作，給予產假四星期；妊娠二個月以上未滿三個月流產者，應停止工作，給予產假一星期；妊娠未滿二個月流產者，應停止工作，給予產假五日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前項產假包含例假日、紀念日、勞動節日及其他由中央主管機關規定應放假之日。</w:t>
            </w:r>
            <w:r w:rsidRPr="00892B1A">
              <w:rPr>
                <w:rFonts w:ascii="標楷體" w:eastAsia="標楷體" w:hAnsi="標楷體" w:hint="eastAsia"/>
                <w:sz w:val="28"/>
                <w:szCs w:val="28"/>
              </w:rPr>
              <w:t>分娩假及流產假應一次請畢。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臨時人員受僱六個月以上者，第一項停止工作期間工資照給；未滿六個月者減半發給。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臨時人員妊娠期間，應給予產檢假五日。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臨時人員於其配偶分娩時，給予陪產假五日，得分次申請，但應於配偶</w:t>
            </w:r>
            <w:r w:rsidRPr="00892B1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分娩之當日及其前後合計十五日期間內，擇其中之五日請假。</w:t>
            </w:r>
            <w:r w:rsidRPr="00892B1A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前開期間如遇例假、紀念節日及依其他</w:t>
            </w:r>
            <w:r w:rsidRPr="00892B1A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lastRenderedPageBreak/>
              <w:t>法令規定應放假之日，均包括在內，不另給假。</w:t>
            </w:r>
          </w:p>
          <w:p w:rsidR="00E843B9" w:rsidRPr="00EB0C13" w:rsidRDefault="00E843B9" w:rsidP="005A4735">
            <w:pPr>
              <w:spacing w:line="440" w:lineRule="exact"/>
              <w:ind w:firstLineChars="200" w:firstLine="560"/>
              <w:rPr>
                <w:rFonts w:ascii="標楷體" w:eastAsia="標楷體" w:hAnsi="標楷體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陪產假、產檢假期間工資照給。</w:t>
            </w:r>
          </w:p>
        </w:tc>
        <w:tc>
          <w:tcPr>
            <w:tcW w:w="2950" w:type="dxa"/>
          </w:tcPr>
          <w:p w:rsidR="00E843B9" w:rsidRPr="00892B1A" w:rsidRDefault="00E843B9" w:rsidP="005A4735">
            <w:pPr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</w:t>
            </w:r>
            <w:r w:rsidRPr="00892B1A">
              <w:rPr>
                <w:rFonts w:ascii="標楷體" w:eastAsia="標楷體" w:hAnsi="標楷體" w:hint="eastAsia"/>
                <w:sz w:val="28"/>
                <w:szCs w:val="28"/>
              </w:rPr>
              <w:t>性別工作平等法施行細則第</w:t>
            </w:r>
            <w:r w:rsidRPr="00892B1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92B1A">
              <w:rPr>
                <w:rFonts w:ascii="標楷體" w:eastAsia="標楷體" w:hAnsi="標楷體" w:hint="eastAsia"/>
                <w:sz w:val="28"/>
                <w:szCs w:val="28"/>
              </w:rPr>
              <w:t>條之修正，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爰配合</w:t>
            </w:r>
            <w:r w:rsidRPr="00892B1A">
              <w:rPr>
                <w:rFonts w:ascii="標楷體" w:eastAsia="標楷體" w:hAnsi="標楷體" w:hint="eastAsia"/>
                <w:sz w:val="28"/>
                <w:szCs w:val="28"/>
              </w:rPr>
              <w:t>刪除「前開期間如遇例假、紀念節日及依其他法令規定應放假之日，均包括在內，不另給假」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之規定。</w:t>
            </w:r>
          </w:p>
        </w:tc>
      </w:tr>
      <w:tr w:rsidR="00E843B9" w:rsidRPr="00B02950" w:rsidTr="00C531FD">
        <w:trPr>
          <w:trHeight w:val="345"/>
        </w:trPr>
        <w:tc>
          <w:tcPr>
            <w:tcW w:w="2949" w:type="dxa"/>
          </w:tcPr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-11" w:left="-26" w:firstLineChars="11" w:firstLine="3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第三十四條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-11" w:left="-26" w:firstLineChars="11" w:firstLine="3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臨時人員因職業災害而致殘廢、傷害或疾病者，其治療、休養期間，給予公傷病假，並依下列規定辦理：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596" w:hangingChars="213" w:hanging="59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一、公傷病假之申請，應檢具公立醫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療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或全民健康保險特約醫院出具之診斷證明書。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二、公傷病假之認定，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依據「勞工保險被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保險人因執行職務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而致傷病審查準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則」及「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職業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安全</w:t>
            </w:r>
          </w:p>
          <w:p w:rsidR="00E843B9" w:rsidRPr="00EB0C13" w:rsidRDefault="00E843B9" w:rsidP="005A473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衛生法」辦理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949" w:type="dxa"/>
          </w:tcPr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-11" w:left="-26" w:firstLineChars="11" w:firstLine="3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第三十四條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-11" w:left="-26" w:firstLineChars="11" w:firstLine="3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臨時人員因職業災害而致殘廢、傷害或疾病者，其治療、休養期間，給予公傷病假，並依下列規定辦理：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596" w:hangingChars="213" w:hanging="59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一、公傷病假之申請，應檢具公立醫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療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</w:t>
            </w:r>
            <w:r w:rsidRPr="00892B1A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或全民健康保險特約醫院出具之診斷證明書。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二、公傷病假之認定，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依據「勞工保險被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保險人因執行職務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而致傷病審查準</w:t>
            </w:r>
          </w:p>
          <w:p w:rsidR="00E843B9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則」及「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勞工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安全</w:t>
            </w:r>
          </w:p>
          <w:p w:rsidR="00E843B9" w:rsidRPr="00892B1A" w:rsidRDefault="00E843B9" w:rsidP="005A47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衛生法」辦理。</w:t>
            </w:r>
          </w:p>
        </w:tc>
        <w:tc>
          <w:tcPr>
            <w:tcW w:w="2950" w:type="dxa"/>
          </w:tcPr>
          <w:p w:rsidR="00E843B9" w:rsidRDefault="00E843B9" w:rsidP="005A4735">
            <w:pPr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勞工安全衛生法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業更名為職業</w:t>
            </w:r>
            <w:r w:rsidRPr="00892B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安全衛生法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，爰配合修正本條內文。</w:t>
            </w:r>
          </w:p>
        </w:tc>
      </w:tr>
    </w:tbl>
    <w:p w:rsidR="00E843B9" w:rsidRDefault="00E843B9" w:rsidP="005A4735">
      <w:pPr>
        <w:spacing w:line="440" w:lineRule="exact"/>
      </w:pPr>
    </w:p>
    <w:sectPr w:rsidR="00E843B9" w:rsidSect="007868A2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25C"/>
    <w:multiLevelType w:val="hybridMultilevel"/>
    <w:tmpl w:val="629C8B58"/>
    <w:lvl w:ilvl="0" w:tplc="32C8B10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cs="Times New Roman" w:hint="eastAsia"/>
      </w:rPr>
    </w:lvl>
    <w:lvl w:ilvl="1" w:tplc="9F982640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2" w:tplc="50B45FFC">
      <w:start w:val="1"/>
      <w:numFmt w:val="taiwaneseCountingThousand"/>
      <w:lvlText w:val="(%3)"/>
      <w:lvlJc w:val="left"/>
      <w:pPr>
        <w:tabs>
          <w:tab w:val="num" w:pos="2520"/>
        </w:tabs>
        <w:ind w:left="2520" w:hanging="600"/>
      </w:pPr>
      <w:rPr>
        <w:rFonts w:cs="Times New Roman" w:hint="default"/>
      </w:rPr>
    </w:lvl>
    <w:lvl w:ilvl="3" w:tplc="57B885E4">
      <w:start w:val="1"/>
      <w:numFmt w:val="taiwaneseCountingThousand"/>
      <w:lvlText w:val="（%4）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Arial Unicode MS"/>
        <w:u w:val="singl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1F13540A"/>
    <w:multiLevelType w:val="hybridMultilevel"/>
    <w:tmpl w:val="95FA0F8C"/>
    <w:lvl w:ilvl="0" w:tplc="E7BCD1D6">
      <w:start w:val="1"/>
      <w:numFmt w:val="taiwaneseCountingThousand"/>
      <w:lvlText w:val="（%1）"/>
      <w:lvlJc w:val="left"/>
      <w:pPr>
        <w:ind w:left="1680" w:hanging="12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B200193"/>
    <w:multiLevelType w:val="hybridMultilevel"/>
    <w:tmpl w:val="0646F8F8"/>
    <w:lvl w:ilvl="0" w:tplc="451CA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08E5B87"/>
    <w:multiLevelType w:val="hybridMultilevel"/>
    <w:tmpl w:val="628AB5A8"/>
    <w:lvl w:ilvl="0" w:tplc="C09CC3E2">
      <w:start w:val="1"/>
      <w:numFmt w:val="taiwaneseCountingThousand"/>
      <w:lvlText w:val="（%1）"/>
      <w:lvlJc w:val="left"/>
      <w:pPr>
        <w:ind w:left="1680" w:hanging="12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1CD0EDA"/>
    <w:multiLevelType w:val="hybridMultilevel"/>
    <w:tmpl w:val="A79EF41C"/>
    <w:lvl w:ilvl="0" w:tplc="86ACFB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80F3D37"/>
    <w:multiLevelType w:val="hybridMultilevel"/>
    <w:tmpl w:val="EB8020B0"/>
    <w:lvl w:ilvl="0" w:tplc="68DA14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6">
    <w:nsid w:val="4C7607E4"/>
    <w:multiLevelType w:val="hybridMultilevel"/>
    <w:tmpl w:val="C7EA0384"/>
    <w:lvl w:ilvl="0" w:tplc="32E4A61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7">
    <w:nsid w:val="6717304A"/>
    <w:multiLevelType w:val="hybridMultilevel"/>
    <w:tmpl w:val="1A0E1230"/>
    <w:lvl w:ilvl="0" w:tplc="49720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BC91E65"/>
    <w:multiLevelType w:val="hybridMultilevel"/>
    <w:tmpl w:val="2B4C5A1C"/>
    <w:lvl w:ilvl="0" w:tplc="86ACFB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D93364C"/>
    <w:multiLevelType w:val="hybridMultilevel"/>
    <w:tmpl w:val="0618215E"/>
    <w:lvl w:ilvl="0" w:tplc="8B92E1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8"/>
    <w:rsid w:val="000039E5"/>
    <w:rsid w:val="00012DA9"/>
    <w:rsid w:val="00022668"/>
    <w:rsid w:val="000757D7"/>
    <w:rsid w:val="0007690A"/>
    <w:rsid w:val="00085BD7"/>
    <w:rsid w:val="0009721A"/>
    <w:rsid w:val="00097C15"/>
    <w:rsid w:val="000B3E81"/>
    <w:rsid w:val="000D02E2"/>
    <w:rsid w:val="000F033E"/>
    <w:rsid w:val="0011308C"/>
    <w:rsid w:val="0015779D"/>
    <w:rsid w:val="00162E4C"/>
    <w:rsid w:val="001762EB"/>
    <w:rsid w:val="001907A0"/>
    <w:rsid w:val="001B7FA3"/>
    <w:rsid w:val="001C2F31"/>
    <w:rsid w:val="001D2CBA"/>
    <w:rsid w:val="001D492B"/>
    <w:rsid w:val="001D5C78"/>
    <w:rsid w:val="001E3823"/>
    <w:rsid w:val="001E5A3D"/>
    <w:rsid w:val="001E6A25"/>
    <w:rsid w:val="0023607E"/>
    <w:rsid w:val="00245A91"/>
    <w:rsid w:val="0027380C"/>
    <w:rsid w:val="002A577D"/>
    <w:rsid w:val="002B25EC"/>
    <w:rsid w:val="0031619E"/>
    <w:rsid w:val="00331EDB"/>
    <w:rsid w:val="00335A1F"/>
    <w:rsid w:val="00364573"/>
    <w:rsid w:val="00366DA4"/>
    <w:rsid w:val="00375E37"/>
    <w:rsid w:val="00376782"/>
    <w:rsid w:val="00386D39"/>
    <w:rsid w:val="0040365A"/>
    <w:rsid w:val="00431AA8"/>
    <w:rsid w:val="00431CE2"/>
    <w:rsid w:val="00451F94"/>
    <w:rsid w:val="00452D97"/>
    <w:rsid w:val="00482587"/>
    <w:rsid w:val="004A1F8F"/>
    <w:rsid w:val="004B2EF0"/>
    <w:rsid w:val="004B6F8A"/>
    <w:rsid w:val="004E1038"/>
    <w:rsid w:val="00502EAC"/>
    <w:rsid w:val="005034AF"/>
    <w:rsid w:val="00510452"/>
    <w:rsid w:val="00555AD5"/>
    <w:rsid w:val="005A1774"/>
    <w:rsid w:val="005A4735"/>
    <w:rsid w:val="005D0060"/>
    <w:rsid w:val="005D6E19"/>
    <w:rsid w:val="005F0CF4"/>
    <w:rsid w:val="006205FD"/>
    <w:rsid w:val="006846B7"/>
    <w:rsid w:val="00685817"/>
    <w:rsid w:val="00692885"/>
    <w:rsid w:val="006A305A"/>
    <w:rsid w:val="006C2116"/>
    <w:rsid w:val="006F0BEB"/>
    <w:rsid w:val="00701684"/>
    <w:rsid w:val="007023DA"/>
    <w:rsid w:val="00703E86"/>
    <w:rsid w:val="007467A0"/>
    <w:rsid w:val="00756264"/>
    <w:rsid w:val="00785CCA"/>
    <w:rsid w:val="007868A2"/>
    <w:rsid w:val="00795B09"/>
    <w:rsid w:val="007B1C28"/>
    <w:rsid w:val="007C2FD5"/>
    <w:rsid w:val="007E2E5F"/>
    <w:rsid w:val="007E35E7"/>
    <w:rsid w:val="007E7C38"/>
    <w:rsid w:val="007F052C"/>
    <w:rsid w:val="00857B9F"/>
    <w:rsid w:val="00874259"/>
    <w:rsid w:val="00882818"/>
    <w:rsid w:val="00892B1A"/>
    <w:rsid w:val="008C7548"/>
    <w:rsid w:val="008E00AF"/>
    <w:rsid w:val="009029AB"/>
    <w:rsid w:val="009038A9"/>
    <w:rsid w:val="00931456"/>
    <w:rsid w:val="00937629"/>
    <w:rsid w:val="00963E93"/>
    <w:rsid w:val="00970F61"/>
    <w:rsid w:val="009712BD"/>
    <w:rsid w:val="00993471"/>
    <w:rsid w:val="009B21E0"/>
    <w:rsid w:val="009B67BE"/>
    <w:rsid w:val="009C528D"/>
    <w:rsid w:val="009D69B7"/>
    <w:rsid w:val="009D7A7A"/>
    <w:rsid w:val="009E299A"/>
    <w:rsid w:val="009E6B39"/>
    <w:rsid w:val="009F657F"/>
    <w:rsid w:val="00A224EF"/>
    <w:rsid w:val="00A57BCC"/>
    <w:rsid w:val="00A60E99"/>
    <w:rsid w:val="00A72278"/>
    <w:rsid w:val="00A75F69"/>
    <w:rsid w:val="00A94D94"/>
    <w:rsid w:val="00AB2BA1"/>
    <w:rsid w:val="00AC7C65"/>
    <w:rsid w:val="00AF038E"/>
    <w:rsid w:val="00AF1F89"/>
    <w:rsid w:val="00B0280D"/>
    <w:rsid w:val="00B02950"/>
    <w:rsid w:val="00B137AE"/>
    <w:rsid w:val="00B23C1E"/>
    <w:rsid w:val="00B354E5"/>
    <w:rsid w:val="00B53F78"/>
    <w:rsid w:val="00B6044B"/>
    <w:rsid w:val="00B713F4"/>
    <w:rsid w:val="00BB1357"/>
    <w:rsid w:val="00BD0C22"/>
    <w:rsid w:val="00C06536"/>
    <w:rsid w:val="00C46C63"/>
    <w:rsid w:val="00C47C71"/>
    <w:rsid w:val="00C531FD"/>
    <w:rsid w:val="00C8695D"/>
    <w:rsid w:val="00CB2C1A"/>
    <w:rsid w:val="00CB7EF0"/>
    <w:rsid w:val="00CD5248"/>
    <w:rsid w:val="00CF10C0"/>
    <w:rsid w:val="00D067CB"/>
    <w:rsid w:val="00D1423D"/>
    <w:rsid w:val="00D2380F"/>
    <w:rsid w:val="00D40F68"/>
    <w:rsid w:val="00D52BC0"/>
    <w:rsid w:val="00D63C18"/>
    <w:rsid w:val="00D65548"/>
    <w:rsid w:val="00D71F9A"/>
    <w:rsid w:val="00DC260A"/>
    <w:rsid w:val="00DD1E38"/>
    <w:rsid w:val="00DE772C"/>
    <w:rsid w:val="00E00324"/>
    <w:rsid w:val="00E50BB2"/>
    <w:rsid w:val="00E63C58"/>
    <w:rsid w:val="00E7316C"/>
    <w:rsid w:val="00E843B9"/>
    <w:rsid w:val="00E96C37"/>
    <w:rsid w:val="00EB0C13"/>
    <w:rsid w:val="00EC246B"/>
    <w:rsid w:val="00ED322D"/>
    <w:rsid w:val="00F003AA"/>
    <w:rsid w:val="00F05C82"/>
    <w:rsid w:val="00F07736"/>
    <w:rsid w:val="00F3665C"/>
    <w:rsid w:val="00F425DC"/>
    <w:rsid w:val="00F64E5E"/>
    <w:rsid w:val="00F83CF9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60E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F425D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D2CB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425DC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60E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F425D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D2CB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425D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臺南市政府臨時人員工作規則第三十三條、第三十六條修正條文對照表</dc:title>
  <dc:creator>培訓考用處第四科郭芷廷</dc:creator>
  <cp:lastModifiedBy>user</cp:lastModifiedBy>
  <cp:revision>2</cp:revision>
  <cp:lastPrinted>2016-02-05T06:55:00Z</cp:lastPrinted>
  <dcterms:created xsi:type="dcterms:W3CDTF">2016-04-15T09:30:00Z</dcterms:created>
  <dcterms:modified xsi:type="dcterms:W3CDTF">2016-04-15T09:30:00Z</dcterms:modified>
</cp:coreProperties>
</file>