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3C" w:rsidRDefault="003A263C" w:rsidP="003A263C">
      <w:pPr>
        <w:spacing w:line="420" w:lineRule="exact"/>
        <w:jc w:val="center"/>
        <w:rPr>
          <w:rFonts w:ascii="標楷體" w:eastAsia="標楷體" w:hAnsi="標楷體"/>
          <w:bCs/>
          <w:spacing w:val="-10"/>
          <w:sz w:val="40"/>
          <w:szCs w:val="40"/>
        </w:rPr>
      </w:pPr>
      <w:proofErr w:type="gramStart"/>
      <w:r>
        <w:rPr>
          <w:rFonts w:ascii="標楷體" w:eastAsia="標楷體" w:hAnsi="標楷體" w:hint="eastAsia"/>
          <w:bCs/>
          <w:spacing w:val="-10"/>
          <w:sz w:val="40"/>
          <w:szCs w:val="40"/>
        </w:rPr>
        <w:t>臺</w:t>
      </w:r>
      <w:proofErr w:type="gramEnd"/>
      <w:r>
        <w:rPr>
          <w:rFonts w:ascii="標楷體" w:eastAsia="標楷體" w:hAnsi="標楷體" w:hint="eastAsia"/>
          <w:bCs/>
          <w:spacing w:val="-10"/>
          <w:sz w:val="40"/>
          <w:szCs w:val="40"/>
        </w:rPr>
        <w:t>南市政府處理違反性別平等教育法事件</w:t>
      </w:r>
    </w:p>
    <w:p w:rsidR="00AC013A" w:rsidRDefault="003A263C" w:rsidP="00A90986">
      <w:pPr>
        <w:spacing w:line="420" w:lineRule="exact"/>
        <w:jc w:val="center"/>
        <w:rPr>
          <w:rFonts w:ascii="標楷體" w:eastAsia="標楷體" w:hAnsi="標楷體" w:hint="eastAsia"/>
          <w:bCs/>
          <w:spacing w:val="-10"/>
          <w:sz w:val="40"/>
          <w:szCs w:val="40"/>
        </w:rPr>
      </w:pPr>
      <w:r>
        <w:rPr>
          <w:rFonts w:ascii="標楷體" w:eastAsia="標楷體" w:hAnsi="標楷體" w:hint="eastAsia"/>
          <w:bCs/>
          <w:spacing w:val="-10"/>
          <w:sz w:val="40"/>
          <w:szCs w:val="40"/>
        </w:rPr>
        <w:t>處理程序及裁罰基準</w:t>
      </w:r>
    </w:p>
    <w:p w:rsidR="00E45A86" w:rsidRPr="00E45A86" w:rsidRDefault="00E45A86" w:rsidP="00E45A86">
      <w:pPr>
        <w:spacing w:line="420" w:lineRule="exact"/>
        <w:jc w:val="right"/>
        <w:rPr>
          <w:rFonts w:ascii="標楷體" w:eastAsia="標楷體" w:hAnsi="標楷體"/>
          <w:bCs/>
          <w:spacing w:val="-10"/>
        </w:rPr>
      </w:pPr>
      <w:r w:rsidRPr="00E45A86">
        <w:rPr>
          <w:rFonts w:ascii="標楷體" w:eastAsia="標楷體" w:hAnsi="標楷體" w:hint="eastAsia"/>
          <w:bCs/>
          <w:spacing w:val="-10"/>
        </w:rPr>
        <w:t>103年3月20日</w:t>
      </w:r>
      <w:proofErr w:type="gramStart"/>
      <w:r w:rsidRPr="00E45A86">
        <w:rPr>
          <w:rFonts w:ascii="標楷體" w:eastAsia="標楷體" w:hAnsi="標楷體" w:hint="eastAsia"/>
          <w:bCs/>
          <w:spacing w:val="-10"/>
        </w:rPr>
        <w:t>府教安字</w:t>
      </w:r>
      <w:proofErr w:type="gramEnd"/>
      <w:r w:rsidRPr="00E45A86">
        <w:rPr>
          <w:rFonts w:ascii="標楷體" w:eastAsia="標楷體" w:hAnsi="標楷體" w:hint="eastAsia"/>
          <w:bCs/>
          <w:spacing w:val="-10"/>
        </w:rPr>
        <w:t>第1030191366號令發布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AC013A" w:rsidRPr="005D72CB" w:rsidTr="000014C2">
        <w:tc>
          <w:tcPr>
            <w:tcW w:w="2500" w:type="pct"/>
            <w:tcBorders>
              <w:top w:val="single" w:sz="4" w:space="0" w:color="auto"/>
              <w:right w:val="single" w:sz="4" w:space="0" w:color="auto"/>
            </w:tcBorders>
          </w:tcPr>
          <w:p w:rsidR="00AC013A" w:rsidRPr="005D72CB" w:rsidRDefault="00CB7982" w:rsidP="00781EA0">
            <w:pPr>
              <w:spacing w:line="420" w:lineRule="exact"/>
              <w:jc w:val="center"/>
              <w:rPr>
                <w:rFonts w:ascii="標楷體" w:eastAsia="標楷體" w:hAnsi="標楷體"/>
                <w:bCs/>
                <w:sz w:val="28"/>
                <w:szCs w:val="28"/>
              </w:rPr>
            </w:pPr>
            <w:r>
              <w:rPr>
                <w:rFonts w:ascii="標楷體" w:eastAsia="標楷體" w:hAnsi="標楷體" w:hint="eastAsia"/>
                <w:bCs/>
                <w:sz w:val="28"/>
                <w:szCs w:val="28"/>
              </w:rPr>
              <w:t>規定</w:t>
            </w:r>
          </w:p>
        </w:tc>
        <w:tc>
          <w:tcPr>
            <w:tcW w:w="2500" w:type="pct"/>
            <w:tcBorders>
              <w:top w:val="single" w:sz="4" w:space="0" w:color="auto"/>
              <w:left w:val="single" w:sz="4" w:space="0" w:color="auto"/>
            </w:tcBorders>
          </w:tcPr>
          <w:p w:rsidR="00AC013A" w:rsidRPr="005D72CB" w:rsidRDefault="00AC013A" w:rsidP="00781EA0">
            <w:pPr>
              <w:spacing w:line="420" w:lineRule="exact"/>
              <w:jc w:val="center"/>
              <w:rPr>
                <w:rFonts w:ascii="標楷體" w:eastAsia="標楷體" w:hAnsi="標楷體"/>
                <w:bCs/>
                <w:sz w:val="28"/>
                <w:szCs w:val="28"/>
              </w:rPr>
            </w:pPr>
            <w:r w:rsidRPr="005D72CB">
              <w:rPr>
                <w:rFonts w:ascii="標楷體" w:eastAsia="標楷體" w:hAnsi="標楷體" w:hint="eastAsia"/>
                <w:bCs/>
                <w:sz w:val="28"/>
                <w:szCs w:val="28"/>
              </w:rPr>
              <w:t>說明</w:t>
            </w:r>
          </w:p>
        </w:tc>
      </w:tr>
      <w:tr w:rsidR="00AC013A" w:rsidRPr="005D72CB" w:rsidTr="000014C2">
        <w:tc>
          <w:tcPr>
            <w:tcW w:w="2500" w:type="pct"/>
          </w:tcPr>
          <w:p w:rsidR="00AC013A" w:rsidRPr="005D72CB" w:rsidRDefault="00AC013A" w:rsidP="00EE3278">
            <w:pPr>
              <w:spacing w:line="420" w:lineRule="exact"/>
              <w:ind w:left="566" w:hangingChars="202" w:hanging="566"/>
              <w:jc w:val="both"/>
              <w:rPr>
                <w:rFonts w:ascii="標楷體" w:eastAsia="標楷體" w:hAnsi="標楷體"/>
                <w:bCs/>
                <w:sz w:val="28"/>
                <w:szCs w:val="28"/>
              </w:rPr>
            </w:pPr>
            <w:r w:rsidRPr="005D72CB">
              <w:rPr>
                <w:rFonts w:ascii="標楷體" w:eastAsia="標楷體" w:hAnsi="標楷體" w:hint="eastAsia"/>
                <w:bCs/>
                <w:sz w:val="28"/>
                <w:szCs w:val="28"/>
              </w:rPr>
              <w:t>一</w:t>
            </w:r>
            <w:r>
              <w:rPr>
                <w:rFonts w:ascii="標楷體" w:eastAsia="標楷體" w:hAnsi="標楷體" w:hint="eastAsia"/>
                <w:bCs/>
                <w:sz w:val="28"/>
                <w:szCs w:val="28"/>
              </w:rPr>
              <w:t>、</w:t>
            </w:r>
            <w:proofErr w:type="gramStart"/>
            <w:r w:rsidRPr="00A61D99">
              <w:rPr>
                <w:rFonts w:ascii="標楷體" w:eastAsia="標楷體" w:hAnsi="標楷體" w:hint="eastAsia"/>
                <w:kern w:val="0"/>
                <w:sz w:val="28"/>
                <w:szCs w:val="28"/>
              </w:rPr>
              <w:t>臺</w:t>
            </w:r>
            <w:proofErr w:type="gramEnd"/>
            <w:r w:rsidRPr="00A61D99">
              <w:rPr>
                <w:rFonts w:ascii="標楷體" w:eastAsia="標楷體" w:hAnsi="標楷體" w:hint="eastAsia"/>
                <w:kern w:val="0"/>
                <w:sz w:val="28"/>
                <w:szCs w:val="28"/>
              </w:rPr>
              <w:t>南市政府</w:t>
            </w:r>
            <w:r w:rsidRPr="00A61D99">
              <w:rPr>
                <w:rFonts w:ascii="標楷體" w:eastAsia="標楷體" w:hAnsi="標楷體"/>
                <w:kern w:val="0"/>
                <w:sz w:val="28"/>
                <w:szCs w:val="28"/>
              </w:rPr>
              <w:t>（</w:t>
            </w:r>
            <w:r w:rsidRPr="00A61D99">
              <w:rPr>
                <w:rFonts w:ascii="標楷體" w:eastAsia="標楷體" w:hAnsi="標楷體" w:hint="eastAsia"/>
                <w:kern w:val="0"/>
                <w:sz w:val="28"/>
                <w:szCs w:val="28"/>
              </w:rPr>
              <w:t>以</w:t>
            </w:r>
            <w:r w:rsidRPr="00A61D99">
              <w:rPr>
                <w:rFonts w:ascii="標楷體" w:eastAsia="標楷體" w:hAnsi="標楷體"/>
                <w:kern w:val="0"/>
                <w:sz w:val="28"/>
                <w:szCs w:val="28"/>
              </w:rPr>
              <w:t>下</w:t>
            </w:r>
            <w:r w:rsidRPr="00A61D99">
              <w:rPr>
                <w:rFonts w:ascii="標楷體" w:eastAsia="標楷體" w:hAnsi="標楷體" w:hint="eastAsia"/>
                <w:kern w:val="0"/>
                <w:sz w:val="28"/>
                <w:szCs w:val="28"/>
              </w:rPr>
              <w:t>簡</w:t>
            </w:r>
            <w:r w:rsidRPr="00A61D99">
              <w:rPr>
                <w:rFonts w:ascii="標楷體" w:eastAsia="標楷體" w:hAnsi="標楷體"/>
                <w:kern w:val="0"/>
                <w:sz w:val="28"/>
                <w:szCs w:val="28"/>
              </w:rPr>
              <w:t>稱本</w:t>
            </w:r>
            <w:r w:rsidRPr="00A61D99">
              <w:rPr>
                <w:rFonts w:ascii="標楷體" w:eastAsia="標楷體" w:hAnsi="標楷體" w:hint="eastAsia"/>
                <w:kern w:val="0"/>
                <w:sz w:val="28"/>
                <w:szCs w:val="28"/>
              </w:rPr>
              <w:t>府</w:t>
            </w:r>
            <w:r w:rsidRPr="00A61D99">
              <w:rPr>
                <w:rFonts w:ascii="標楷體" w:eastAsia="標楷體" w:hAnsi="標楷體"/>
                <w:kern w:val="0"/>
                <w:sz w:val="28"/>
                <w:szCs w:val="28"/>
              </w:rPr>
              <w:t>）為處理</w:t>
            </w:r>
            <w:r w:rsidRPr="00A61D99">
              <w:rPr>
                <w:rFonts w:ascii="標楷體" w:eastAsia="標楷體" w:hAnsi="標楷體" w:hint="eastAsia"/>
                <w:kern w:val="0"/>
                <w:sz w:val="28"/>
                <w:szCs w:val="28"/>
              </w:rPr>
              <w:t>本</w:t>
            </w:r>
            <w:r>
              <w:rPr>
                <w:rFonts w:ascii="標楷體" w:eastAsia="標楷體" w:hAnsi="標楷體" w:hint="eastAsia"/>
                <w:kern w:val="0"/>
                <w:sz w:val="28"/>
                <w:szCs w:val="28"/>
              </w:rPr>
              <w:t>府</w:t>
            </w:r>
            <w:r w:rsidRPr="00A61D99">
              <w:rPr>
                <w:rFonts w:ascii="標楷體" w:eastAsia="標楷體" w:hAnsi="標楷體" w:hint="eastAsia"/>
                <w:sz w:val="28"/>
                <w:szCs w:val="28"/>
              </w:rPr>
              <w:t>所轄</w:t>
            </w:r>
            <w:r>
              <w:rPr>
                <w:rFonts w:ascii="標楷體" w:eastAsia="標楷體" w:hAnsi="標楷體" w:hint="eastAsia"/>
                <w:sz w:val="28"/>
                <w:szCs w:val="28"/>
              </w:rPr>
              <w:t>各級</w:t>
            </w:r>
            <w:r w:rsidRPr="00A61D99">
              <w:rPr>
                <w:rFonts w:ascii="標楷體" w:eastAsia="標楷體" w:hAnsi="標楷體" w:hint="eastAsia"/>
                <w:sz w:val="28"/>
                <w:szCs w:val="28"/>
              </w:rPr>
              <w:t>學校</w:t>
            </w:r>
            <w:r w:rsidRPr="00A61D99">
              <w:rPr>
                <w:rFonts w:ascii="標楷體" w:eastAsia="標楷體" w:hAnsi="標楷體"/>
                <w:kern w:val="0"/>
                <w:sz w:val="28"/>
                <w:szCs w:val="28"/>
              </w:rPr>
              <w:t>違反性別平等教育法（</w:t>
            </w:r>
            <w:r w:rsidRPr="00A61D99">
              <w:rPr>
                <w:rFonts w:ascii="標楷體" w:eastAsia="標楷體" w:hAnsi="標楷體" w:hint="eastAsia"/>
                <w:kern w:val="0"/>
                <w:sz w:val="28"/>
                <w:szCs w:val="28"/>
              </w:rPr>
              <w:t>以</w:t>
            </w:r>
            <w:r w:rsidRPr="00A61D99">
              <w:rPr>
                <w:rFonts w:ascii="標楷體" w:eastAsia="標楷體" w:hAnsi="標楷體"/>
                <w:kern w:val="0"/>
                <w:sz w:val="28"/>
                <w:szCs w:val="28"/>
              </w:rPr>
              <w:t>下</w:t>
            </w:r>
            <w:r w:rsidRPr="00A61D99">
              <w:rPr>
                <w:rFonts w:ascii="標楷體" w:eastAsia="標楷體" w:hAnsi="標楷體" w:hint="eastAsia"/>
                <w:kern w:val="0"/>
                <w:sz w:val="28"/>
                <w:szCs w:val="28"/>
              </w:rPr>
              <w:t>簡</w:t>
            </w:r>
            <w:r w:rsidRPr="00A61D99">
              <w:rPr>
                <w:rFonts w:ascii="標楷體" w:eastAsia="標楷體" w:hAnsi="標楷體"/>
                <w:kern w:val="0"/>
                <w:sz w:val="28"/>
                <w:szCs w:val="28"/>
              </w:rPr>
              <w:t>稱</w:t>
            </w:r>
            <w:r w:rsidRPr="00A61D99">
              <w:rPr>
                <w:rFonts w:ascii="標楷體" w:eastAsia="標楷體" w:hAnsi="標楷體" w:hint="eastAsia"/>
                <w:kern w:val="0"/>
                <w:sz w:val="28"/>
                <w:szCs w:val="28"/>
              </w:rPr>
              <w:t>本</w:t>
            </w:r>
            <w:r w:rsidRPr="00A61D99">
              <w:rPr>
                <w:rFonts w:ascii="標楷體" w:eastAsia="標楷體" w:hAnsi="標楷體"/>
                <w:kern w:val="0"/>
                <w:sz w:val="28"/>
                <w:szCs w:val="28"/>
              </w:rPr>
              <w:t>法）</w:t>
            </w:r>
            <w:r w:rsidR="009811AB">
              <w:rPr>
                <w:rFonts w:ascii="標楷體" w:eastAsia="標楷體" w:hAnsi="標楷體" w:hint="eastAsia"/>
                <w:kern w:val="0"/>
                <w:sz w:val="28"/>
                <w:szCs w:val="28"/>
              </w:rPr>
              <w:t>之</w:t>
            </w:r>
            <w:r w:rsidRPr="00A61D99">
              <w:rPr>
                <w:rFonts w:ascii="標楷體" w:eastAsia="標楷體" w:hAnsi="標楷體"/>
                <w:kern w:val="0"/>
                <w:sz w:val="28"/>
                <w:szCs w:val="28"/>
              </w:rPr>
              <w:t>事件，予以適當</w:t>
            </w:r>
            <w:r w:rsidRPr="00A61D99">
              <w:rPr>
                <w:rFonts w:ascii="標楷體" w:eastAsia="標楷體" w:hAnsi="標楷體" w:hint="eastAsia"/>
                <w:kern w:val="0"/>
                <w:sz w:val="28"/>
                <w:szCs w:val="28"/>
              </w:rPr>
              <w:t>、</w:t>
            </w:r>
            <w:r w:rsidRPr="00A61D99">
              <w:rPr>
                <w:rFonts w:ascii="標楷體" w:eastAsia="標楷體" w:hAnsi="標楷體"/>
                <w:kern w:val="0"/>
                <w:sz w:val="28"/>
                <w:szCs w:val="28"/>
              </w:rPr>
              <w:t>合理</w:t>
            </w:r>
            <w:r w:rsidRPr="00A61D99">
              <w:rPr>
                <w:rFonts w:ascii="標楷體" w:eastAsia="標楷體" w:hAnsi="標楷體" w:hint="eastAsia"/>
                <w:kern w:val="0"/>
                <w:sz w:val="28"/>
                <w:szCs w:val="28"/>
              </w:rPr>
              <w:t>及公平</w:t>
            </w:r>
            <w:r w:rsidRPr="00A61D99">
              <w:rPr>
                <w:rFonts w:ascii="標楷體" w:eastAsia="標楷體" w:hAnsi="標楷體"/>
                <w:kern w:val="0"/>
                <w:sz w:val="28"/>
                <w:szCs w:val="28"/>
              </w:rPr>
              <w:t>之裁處，特訂定本基準。</w:t>
            </w:r>
          </w:p>
        </w:tc>
        <w:tc>
          <w:tcPr>
            <w:tcW w:w="2500" w:type="pct"/>
          </w:tcPr>
          <w:p w:rsidR="00AC013A" w:rsidRPr="005D72CB" w:rsidRDefault="00781EA0" w:rsidP="001B1B6D">
            <w:pPr>
              <w:spacing w:line="420" w:lineRule="exact"/>
              <w:rPr>
                <w:rFonts w:ascii="標楷體" w:eastAsia="標楷體" w:hAnsi="標楷體"/>
                <w:bCs/>
                <w:sz w:val="28"/>
                <w:szCs w:val="28"/>
              </w:rPr>
            </w:pPr>
            <w:r>
              <w:rPr>
                <w:rFonts w:ascii="標楷體" w:eastAsia="標楷體" w:hAnsi="標楷體" w:hint="eastAsia"/>
                <w:bCs/>
                <w:sz w:val="28"/>
                <w:szCs w:val="28"/>
              </w:rPr>
              <w:t>訂定目的</w:t>
            </w:r>
            <w:r w:rsidR="00AC013A" w:rsidRPr="005D72CB">
              <w:rPr>
                <w:rFonts w:ascii="標楷體" w:eastAsia="標楷體" w:hAnsi="標楷體" w:hint="eastAsia"/>
                <w:bCs/>
                <w:sz w:val="28"/>
                <w:szCs w:val="28"/>
              </w:rPr>
              <w:t>。</w:t>
            </w:r>
          </w:p>
        </w:tc>
      </w:tr>
      <w:tr w:rsidR="003A263C" w:rsidRPr="005D72CB" w:rsidTr="000014C2">
        <w:tc>
          <w:tcPr>
            <w:tcW w:w="2500" w:type="pct"/>
          </w:tcPr>
          <w:p w:rsidR="003A263C" w:rsidRPr="005D72CB" w:rsidRDefault="003A263C" w:rsidP="003A263C">
            <w:pPr>
              <w:spacing w:line="420" w:lineRule="exact"/>
              <w:ind w:left="566" w:hangingChars="202" w:hanging="566"/>
              <w:jc w:val="both"/>
              <w:rPr>
                <w:rFonts w:ascii="標楷體" w:eastAsia="標楷體" w:hAnsi="標楷體"/>
                <w:bCs/>
                <w:sz w:val="28"/>
                <w:szCs w:val="28"/>
              </w:rPr>
            </w:pPr>
            <w:r>
              <w:rPr>
                <w:rFonts w:ascii="標楷體" w:eastAsia="標楷體" w:hAnsi="標楷體" w:hint="eastAsia"/>
                <w:bCs/>
                <w:sz w:val="28"/>
                <w:szCs w:val="28"/>
              </w:rPr>
              <w:t>二、本府知悉涉嫌違反本法規定情事者，得組成調查小組實地稽查及</w:t>
            </w:r>
            <w:proofErr w:type="gramStart"/>
            <w:r>
              <w:rPr>
                <w:rFonts w:ascii="標楷體" w:eastAsia="標楷體" w:hAnsi="標楷體" w:hint="eastAsia"/>
                <w:bCs/>
                <w:sz w:val="28"/>
                <w:szCs w:val="28"/>
              </w:rPr>
              <w:t>蒐</w:t>
            </w:r>
            <w:proofErr w:type="gramEnd"/>
            <w:r>
              <w:rPr>
                <w:rFonts w:ascii="標楷體" w:eastAsia="標楷體" w:hAnsi="標楷體" w:hint="eastAsia"/>
                <w:bCs/>
                <w:sz w:val="28"/>
                <w:szCs w:val="28"/>
              </w:rPr>
              <w:t>證。</w:t>
            </w:r>
          </w:p>
        </w:tc>
        <w:tc>
          <w:tcPr>
            <w:tcW w:w="2500" w:type="pct"/>
          </w:tcPr>
          <w:p w:rsidR="003A263C" w:rsidRPr="007557CD" w:rsidDel="00781EA0" w:rsidRDefault="007557CD" w:rsidP="007557CD">
            <w:pPr>
              <w:spacing w:line="420" w:lineRule="exact"/>
              <w:jc w:val="both"/>
              <w:rPr>
                <w:rFonts w:ascii="標楷體" w:eastAsia="標楷體" w:hAnsi="標楷體"/>
                <w:bCs/>
                <w:sz w:val="28"/>
                <w:szCs w:val="28"/>
              </w:rPr>
            </w:pPr>
            <w:r>
              <w:rPr>
                <w:rFonts w:ascii="標楷體" w:eastAsia="標楷體" w:hAnsi="標楷體" w:hint="eastAsia"/>
                <w:sz w:val="28"/>
                <w:szCs w:val="28"/>
              </w:rPr>
              <w:t>考量校園性別事件之個別差異性，</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訂定調查小組組成之規定。</w:t>
            </w:r>
          </w:p>
        </w:tc>
      </w:tr>
      <w:tr w:rsidR="003A263C" w:rsidRPr="005D72CB" w:rsidTr="000014C2">
        <w:tc>
          <w:tcPr>
            <w:tcW w:w="2500" w:type="pct"/>
          </w:tcPr>
          <w:p w:rsidR="003A263C" w:rsidRPr="005D72CB" w:rsidRDefault="007557CD" w:rsidP="00781EA0">
            <w:pPr>
              <w:spacing w:line="420" w:lineRule="exact"/>
              <w:ind w:left="566" w:hangingChars="202" w:hanging="566"/>
              <w:jc w:val="both"/>
              <w:rPr>
                <w:rFonts w:ascii="標楷體" w:eastAsia="標楷體" w:hAnsi="標楷體"/>
                <w:bCs/>
                <w:sz w:val="28"/>
                <w:szCs w:val="28"/>
              </w:rPr>
            </w:pPr>
            <w:r>
              <w:rPr>
                <w:rFonts w:ascii="標楷體" w:eastAsia="標楷體" w:hAnsi="標楷體" w:hint="eastAsia"/>
                <w:bCs/>
                <w:sz w:val="28"/>
                <w:szCs w:val="28"/>
              </w:rPr>
              <w:t>三、</w:t>
            </w:r>
            <w:r>
              <w:rPr>
                <w:rFonts w:ascii="標楷體" w:eastAsia="標楷體" w:hAnsi="標楷體" w:hint="eastAsia"/>
                <w:kern w:val="0"/>
                <w:sz w:val="28"/>
                <w:szCs w:val="28"/>
              </w:rPr>
              <w:t>為達公平、公正起見，本府對違反本法規定之罰鍰，得聘請具有性別平等意識之專家學者及律師代表組成審議小組審議之，其中任</w:t>
            </w:r>
            <w:proofErr w:type="gramStart"/>
            <w:r>
              <w:rPr>
                <w:rFonts w:ascii="標楷體" w:eastAsia="標楷體" w:hAnsi="標楷體" w:hint="eastAsia"/>
                <w:kern w:val="0"/>
                <w:sz w:val="28"/>
                <w:szCs w:val="28"/>
              </w:rPr>
              <w:t>一</w:t>
            </w:r>
            <w:proofErr w:type="gramEnd"/>
            <w:r>
              <w:rPr>
                <w:rFonts w:ascii="標楷體" w:eastAsia="標楷體" w:hAnsi="標楷體" w:hint="eastAsia"/>
                <w:kern w:val="0"/>
                <w:sz w:val="28"/>
                <w:szCs w:val="28"/>
              </w:rPr>
              <w:t>性別委員不得少於委員總數之三分之一。</w:t>
            </w:r>
          </w:p>
        </w:tc>
        <w:tc>
          <w:tcPr>
            <w:tcW w:w="2500" w:type="pct"/>
          </w:tcPr>
          <w:p w:rsidR="003A263C" w:rsidRPr="005D72CB" w:rsidDel="00781EA0" w:rsidRDefault="007557CD" w:rsidP="00781EA0">
            <w:pPr>
              <w:spacing w:line="420" w:lineRule="exact"/>
              <w:jc w:val="both"/>
              <w:rPr>
                <w:rFonts w:ascii="標楷體" w:eastAsia="標楷體" w:hAnsi="標楷體"/>
                <w:bCs/>
                <w:sz w:val="28"/>
                <w:szCs w:val="28"/>
              </w:rPr>
            </w:pPr>
            <w:r>
              <w:rPr>
                <w:rFonts w:ascii="標楷體" w:eastAsia="標楷體" w:hAnsi="標楷體" w:hint="eastAsia"/>
                <w:bCs/>
                <w:sz w:val="28"/>
                <w:szCs w:val="28"/>
              </w:rPr>
              <w:t>審議小組委員之組成。</w:t>
            </w:r>
          </w:p>
        </w:tc>
      </w:tr>
      <w:tr w:rsidR="00AC013A" w:rsidRPr="00781EA0" w:rsidTr="000014C2">
        <w:tc>
          <w:tcPr>
            <w:tcW w:w="2500" w:type="pct"/>
          </w:tcPr>
          <w:p w:rsidR="00AC013A" w:rsidRPr="005D72CB" w:rsidRDefault="00CA7FB0" w:rsidP="007557CD">
            <w:pPr>
              <w:autoSpaceDE w:val="0"/>
              <w:autoSpaceDN w:val="0"/>
              <w:adjustRightInd w:val="0"/>
              <w:spacing w:line="420" w:lineRule="exact"/>
              <w:ind w:leftChars="-1" w:left="541" w:hangingChars="194" w:hanging="543"/>
              <w:jc w:val="both"/>
              <w:rPr>
                <w:rFonts w:ascii="標楷體" w:eastAsia="標楷體" w:hAnsi="標楷體"/>
                <w:bCs/>
                <w:sz w:val="28"/>
                <w:szCs w:val="28"/>
              </w:rPr>
            </w:pPr>
            <w:r>
              <w:rPr>
                <w:rFonts w:ascii="標楷體" w:eastAsia="標楷體" w:hAnsi="標楷體" w:hint="eastAsia"/>
                <w:bCs/>
                <w:sz w:val="28"/>
                <w:szCs w:val="28"/>
              </w:rPr>
              <w:t>四</w:t>
            </w:r>
            <w:r w:rsidR="00AC013A">
              <w:rPr>
                <w:rFonts w:ascii="標楷體" w:eastAsia="標楷體" w:hAnsi="標楷體" w:hint="eastAsia"/>
                <w:bCs/>
                <w:sz w:val="28"/>
                <w:szCs w:val="28"/>
              </w:rPr>
              <w:t>、</w:t>
            </w:r>
            <w:r w:rsidR="00C25DF8">
              <w:rPr>
                <w:rFonts w:ascii="標楷體" w:eastAsia="標楷體" w:hAnsi="標楷體" w:hint="eastAsia"/>
                <w:kern w:val="0"/>
                <w:sz w:val="28"/>
                <w:szCs w:val="28"/>
              </w:rPr>
              <w:t>本府處理違反本法事件，</w:t>
            </w:r>
            <w:r w:rsidR="00781EA0" w:rsidRPr="00781EA0">
              <w:rPr>
                <w:rFonts w:ascii="標楷體" w:eastAsia="標楷體" w:hAnsi="標楷體" w:hint="eastAsia"/>
                <w:kern w:val="0"/>
                <w:sz w:val="28"/>
                <w:szCs w:val="28"/>
              </w:rPr>
              <w:t>裁罰基準如附表。</w:t>
            </w:r>
          </w:p>
        </w:tc>
        <w:tc>
          <w:tcPr>
            <w:tcW w:w="2500" w:type="pct"/>
          </w:tcPr>
          <w:p w:rsidR="00AC013A" w:rsidRPr="005D72CB" w:rsidRDefault="00781EA0">
            <w:pPr>
              <w:spacing w:line="420" w:lineRule="exact"/>
              <w:jc w:val="both"/>
              <w:rPr>
                <w:rFonts w:ascii="標楷體" w:eastAsia="標楷體" w:hAnsi="標楷體"/>
                <w:bCs/>
                <w:sz w:val="28"/>
                <w:szCs w:val="28"/>
              </w:rPr>
            </w:pPr>
            <w:r w:rsidRPr="00D4627F">
              <w:rPr>
                <w:rFonts w:eastAsia="標楷體" w:hint="eastAsia"/>
                <w:kern w:val="0"/>
                <w:sz w:val="28"/>
              </w:rPr>
              <w:t>考量違規</w:t>
            </w:r>
            <w:r>
              <w:rPr>
                <w:rFonts w:eastAsia="標楷體" w:hint="eastAsia"/>
                <w:kern w:val="0"/>
                <w:sz w:val="28"/>
              </w:rPr>
              <w:t>案件</w:t>
            </w:r>
            <w:r w:rsidRPr="00D4627F">
              <w:rPr>
                <w:rFonts w:eastAsia="標楷體" w:hint="eastAsia"/>
                <w:kern w:val="0"/>
                <w:sz w:val="28"/>
              </w:rPr>
              <w:t>之</w:t>
            </w:r>
            <w:r>
              <w:rPr>
                <w:rFonts w:eastAsia="標楷體" w:hint="eastAsia"/>
                <w:kern w:val="0"/>
                <w:sz w:val="28"/>
              </w:rPr>
              <w:t>種類、</w:t>
            </w:r>
            <w:r w:rsidRPr="00D4627F">
              <w:rPr>
                <w:rFonts w:eastAsia="標楷體" w:hint="eastAsia"/>
                <w:kern w:val="0"/>
                <w:sz w:val="28"/>
              </w:rPr>
              <w:t>違規</w:t>
            </w:r>
            <w:r>
              <w:rPr>
                <w:rFonts w:eastAsia="標楷體" w:hint="eastAsia"/>
                <w:kern w:val="0"/>
                <w:sz w:val="28"/>
              </w:rPr>
              <w:t>情節及違規</w:t>
            </w:r>
            <w:r w:rsidRPr="00D4627F">
              <w:rPr>
                <w:rFonts w:eastAsia="標楷體" w:hint="eastAsia"/>
                <w:kern w:val="0"/>
                <w:sz w:val="28"/>
              </w:rPr>
              <w:t>次數等因素</w:t>
            </w:r>
            <w:r>
              <w:rPr>
                <w:rFonts w:eastAsia="標楷體" w:hint="eastAsia"/>
                <w:kern w:val="0"/>
                <w:sz w:val="28"/>
              </w:rPr>
              <w:t>，分別訂定裁罰基準。</w:t>
            </w:r>
          </w:p>
        </w:tc>
      </w:tr>
      <w:tr w:rsidR="00AC013A" w:rsidRPr="005D72CB" w:rsidTr="000014C2">
        <w:tc>
          <w:tcPr>
            <w:tcW w:w="2500" w:type="pct"/>
          </w:tcPr>
          <w:p w:rsidR="00CA7FB0" w:rsidRDefault="00CA7FB0" w:rsidP="00CA7FB0">
            <w:pPr>
              <w:autoSpaceDE w:val="0"/>
              <w:autoSpaceDN w:val="0"/>
              <w:adjustRightInd w:val="0"/>
              <w:spacing w:line="420" w:lineRule="exact"/>
              <w:ind w:leftChars="-1" w:left="555" w:hangingChars="199" w:hanging="557"/>
              <w:jc w:val="both"/>
              <w:rPr>
                <w:rFonts w:ascii="標楷體" w:eastAsia="標楷體" w:hAnsi="標楷體"/>
                <w:kern w:val="0"/>
                <w:sz w:val="28"/>
                <w:szCs w:val="28"/>
              </w:rPr>
            </w:pPr>
            <w:r>
              <w:rPr>
                <w:rFonts w:ascii="標楷體" w:eastAsia="標楷體" w:hAnsi="標楷體" w:hint="eastAsia"/>
                <w:bCs/>
                <w:sz w:val="28"/>
                <w:szCs w:val="28"/>
              </w:rPr>
              <w:t>五</w:t>
            </w:r>
            <w:r w:rsidR="00AC013A">
              <w:rPr>
                <w:rFonts w:ascii="標楷體" w:eastAsia="標楷體" w:hAnsi="標楷體" w:hint="eastAsia"/>
                <w:bCs/>
                <w:sz w:val="28"/>
                <w:szCs w:val="28"/>
              </w:rPr>
              <w:t>、</w:t>
            </w:r>
            <w:r w:rsidR="00E57EC4">
              <w:rPr>
                <w:rFonts w:ascii="標楷體" w:eastAsia="標楷體" w:hAnsi="標楷體" w:hint="eastAsia"/>
                <w:kern w:val="0"/>
                <w:sz w:val="28"/>
                <w:szCs w:val="28"/>
              </w:rPr>
              <w:t>違反本法規定</w:t>
            </w:r>
            <w:proofErr w:type="gramStart"/>
            <w:r w:rsidR="00E57EC4">
              <w:rPr>
                <w:rFonts w:ascii="標楷體" w:eastAsia="標楷體" w:hAnsi="標楷體" w:hint="eastAsia"/>
                <w:kern w:val="0"/>
                <w:sz w:val="28"/>
                <w:szCs w:val="28"/>
              </w:rPr>
              <w:t>應受裁罰</w:t>
            </w:r>
            <w:proofErr w:type="gramEnd"/>
            <w:r w:rsidR="00E57EC4">
              <w:rPr>
                <w:rFonts w:ascii="標楷體" w:eastAsia="標楷體" w:hAnsi="標楷體" w:hint="eastAsia"/>
                <w:kern w:val="0"/>
                <w:sz w:val="28"/>
                <w:szCs w:val="28"/>
              </w:rPr>
              <w:t>者，經審酌下列情形，</w:t>
            </w:r>
            <w:proofErr w:type="gramStart"/>
            <w:r w:rsidR="00E57EC4">
              <w:rPr>
                <w:rFonts w:ascii="標楷體" w:eastAsia="標楷體" w:hAnsi="標楷體" w:hint="eastAsia"/>
                <w:kern w:val="0"/>
                <w:sz w:val="28"/>
                <w:szCs w:val="28"/>
              </w:rPr>
              <w:t>認依前</w:t>
            </w:r>
            <w:proofErr w:type="gramEnd"/>
            <w:r w:rsidR="00E57EC4">
              <w:rPr>
                <w:rFonts w:ascii="標楷體" w:eastAsia="標楷體" w:hAnsi="標楷體" w:hint="eastAsia"/>
                <w:kern w:val="0"/>
                <w:sz w:val="28"/>
                <w:szCs w:val="28"/>
              </w:rPr>
              <w:t>點</w:t>
            </w:r>
            <w:r>
              <w:rPr>
                <w:rFonts w:ascii="標楷體" w:eastAsia="標楷體" w:hAnsi="標楷體" w:hint="eastAsia"/>
                <w:kern w:val="0"/>
                <w:sz w:val="28"/>
                <w:szCs w:val="28"/>
              </w:rPr>
              <w:t>所定裁罰基準處罰仍屬過輕或過重者，得在法定處罰金額額度內，予以加重或減輕處罰，並應敘明加重或減輕之理由；必要時，並得提經</w:t>
            </w:r>
            <w:proofErr w:type="gramStart"/>
            <w:r>
              <w:rPr>
                <w:rFonts w:ascii="標楷體" w:eastAsia="標楷體" w:hAnsi="標楷體" w:hint="eastAsia"/>
                <w:kern w:val="0"/>
                <w:sz w:val="28"/>
                <w:szCs w:val="28"/>
              </w:rPr>
              <w:t>臺</w:t>
            </w:r>
            <w:proofErr w:type="gramEnd"/>
            <w:r>
              <w:rPr>
                <w:rFonts w:ascii="標楷體" w:eastAsia="標楷體" w:hAnsi="標楷體" w:hint="eastAsia"/>
                <w:kern w:val="0"/>
                <w:sz w:val="28"/>
                <w:szCs w:val="28"/>
              </w:rPr>
              <w:t>南市性別平等教育委員會討論議決：</w:t>
            </w:r>
          </w:p>
          <w:p w:rsidR="00CA7FB0" w:rsidRDefault="00CA7FB0" w:rsidP="00CA7FB0">
            <w:pPr>
              <w:autoSpaceDE w:val="0"/>
              <w:autoSpaceDN w:val="0"/>
              <w:adjustRightInd w:val="0"/>
              <w:spacing w:line="420" w:lineRule="exact"/>
              <w:ind w:leftChars="5" w:left="592" w:hangingChars="207" w:hanging="5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)違反本法所定義務行為應受責難程度。</w:t>
            </w:r>
          </w:p>
          <w:p w:rsidR="00CA7FB0" w:rsidRDefault="00CA7FB0" w:rsidP="00CA7FB0">
            <w:pPr>
              <w:autoSpaceDE w:val="0"/>
              <w:autoSpaceDN w:val="0"/>
              <w:adjustRightInd w:val="0"/>
              <w:spacing w:line="420" w:lineRule="exact"/>
              <w:ind w:leftChars="5" w:left="592" w:hangingChars="207" w:hanging="580"/>
              <w:jc w:val="both"/>
              <w:rPr>
                <w:rFonts w:ascii="標楷體" w:eastAsia="標楷體" w:hAnsi="標楷體"/>
                <w:sz w:val="28"/>
                <w:szCs w:val="28"/>
              </w:rPr>
            </w:pPr>
            <w:r>
              <w:rPr>
                <w:rFonts w:ascii="標楷體" w:eastAsia="標楷體" w:hAnsi="標楷體" w:hint="eastAsia"/>
                <w:kern w:val="0"/>
                <w:sz w:val="28"/>
                <w:szCs w:val="28"/>
              </w:rPr>
              <w:t>(二)對學生受教權、</w:t>
            </w:r>
            <w:r>
              <w:rPr>
                <w:rFonts w:ascii="標楷體" w:eastAsia="標楷體" w:hAnsi="標楷體" w:hint="eastAsia"/>
                <w:sz w:val="28"/>
                <w:szCs w:val="28"/>
              </w:rPr>
              <w:t>人格尊嚴及人身安全等事項</w:t>
            </w:r>
            <w:r>
              <w:rPr>
                <w:rFonts w:ascii="標楷體" w:eastAsia="標楷體" w:hAnsi="標楷體" w:hint="eastAsia"/>
                <w:kern w:val="0"/>
                <w:sz w:val="28"/>
                <w:szCs w:val="28"/>
              </w:rPr>
              <w:t>所生影響。</w:t>
            </w:r>
          </w:p>
          <w:p w:rsidR="00CA7FB0" w:rsidRDefault="00CA7FB0" w:rsidP="00CA7FB0">
            <w:pPr>
              <w:autoSpaceDE w:val="0"/>
              <w:autoSpaceDN w:val="0"/>
              <w:adjustRightInd w:val="0"/>
              <w:spacing w:line="420" w:lineRule="exact"/>
              <w:ind w:leftChars="5" w:left="592" w:hangingChars="207" w:hanging="580"/>
              <w:jc w:val="both"/>
              <w:rPr>
                <w:rFonts w:ascii="標楷體" w:eastAsia="標楷體" w:hAnsi="標楷體"/>
                <w:sz w:val="28"/>
                <w:szCs w:val="28"/>
              </w:rPr>
            </w:pPr>
            <w:r>
              <w:rPr>
                <w:rFonts w:ascii="標楷體" w:eastAsia="標楷體" w:hAnsi="標楷體" w:hint="eastAsia"/>
                <w:kern w:val="0"/>
                <w:sz w:val="28"/>
                <w:szCs w:val="28"/>
              </w:rPr>
              <w:t>(三)因違反本法義務所得之利益。</w:t>
            </w:r>
          </w:p>
          <w:p w:rsidR="00AC013A" w:rsidRPr="00CA7FB0" w:rsidRDefault="00CA7FB0" w:rsidP="00A90986">
            <w:pPr>
              <w:autoSpaceDE w:val="0"/>
              <w:autoSpaceDN w:val="0"/>
              <w:adjustRightInd w:val="0"/>
              <w:spacing w:line="420" w:lineRule="exact"/>
              <w:ind w:leftChars="-1" w:left="555" w:hangingChars="199" w:hanging="557"/>
              <w:jc w:val="both"/>
              <w:rPr>
                <w:rFonts w:ascii="標楷體" w:eastAsia="標楷體" w:hAnsi="標楷體"/>
                <w:kern w:val="0"/>
                <w:sz w:val="28"/>
                <w:szCs w:val="28"/>
              </w:rPr>
            </w:pPr>
            <w:r>
              <w:rPr>
                <w:rFonts w:ascii="標楷體" w:eastAsia="標楷體" w:hAnsi="標楷體" w:hint="eastAsia"/>
                <w:sz w:val="28"/>
                <w:szCs w:val="28"/>
              </w:rPr>
              <w:t>(</w:t>
            </w:r>
            <w:r>
              <w:rPr>
                <w:rFonts w:ascii="標楷體" w:eastAsia="標楷體" w:hAnsi="標楷體" w:hint="eastAsia"/>
                <w:kern w:val="0"/>
                <w:sz w:val="28"/>
                <w:szCs w:val="28"/>
              </w:rPr>
              <w:t>四)受處罰者之資力。</w:t>
            </w:r>
          </w:p>
        </w:tc>
        <w:tc>
          <w:tcPr>
            <w:tcW w:w="2500" w:type="pct"/>
          </w:tcPr>
          <w:p w:rsidR="00AC013A" w:rsidRDefault="00CA7FB0" w:rsidP="00CA7FB0">
            <w:pPr>
              <w:spacing w:line="420" w:lineRule="exact"/>
              <w:ind w:left="504" w:hangingChars="180" w:hanging="504"/>
              <w:jc w:val="both"/>
              <w:rPr>
                <w:rFonts w:eastAsia="標楷體"/>
                <w:kern w:val="0"/>
                <w:sz w:val="28"/>
              </w:rPr>
            </w:pPr>
            <w:r>
              <w:rPr>
                <w:rFonts w:eastAsia="標楷體" w:hint="eastAsia"/>
                <w:kern w:val="0"/>
                <w:sz w:val="28"/>
              </w:rPr>
              <w:t>一、</w:t>
            </w:r>
            <w:r w:rsidR="00C41B24" w:rsidRPr="00CA7FB0">
              <w:rPr>
                <w:rFonts w:eastAsia="標楷體" w:hint="eastAsia"/>
                <w:kern w:val="0"/>
                <w:sz w:val="28"/>
              </w:rPr>
              <w:t>得依個案</w:t>
            </w:r>
            <w:r w:rsidR="00450293" w:rsidRPr="00CA7FB0">
              <w:rPr>
                <w:rFonts w:eastAsia="標楷體" w:hint="eastAsia"/>
                <w:kern w:val="0"/>
                <w:sz w:val="28"/>
              </w:rPr>
              <w:t>具體情況</w:t>
            </w:r>
            <w:proofErr w:type="gramStart"/>
            <w:r w:rsidR="00450293" w:rsidRPr="00CA7FB0">
              <w:rPr>
                <w:rFonts w:eastAsia="標楷體" w:hint="eastAsia"/>
                <w:kern w:val="0"/>
                <w:sz w:val="28"/>
              </w:rPr>
              <w:t>妥適審酌</w:t>
            </w:r>
            <w:proofErr w:type="gramEnd"/>
            <w:r w:rsidR="00450293" w:rsidRPr="00CA7FB0">
              <w:rPr>
                <w:rFonts w:eastAsia="標楷體" w:hint="eastAsia"/>
                <w:kern w:val="0"/>
                <w:sz w:val="28"/>
              </w:rPr>
              <w:t>加重或減輕裁罰，但應敘明理由。</w:t>
            </w:r>
          </w:p>
          <w:p w:rsidR="00CA7FB0" w:rsidRPr="00CA7FB0" w:rsidRDefault="00CA7FB0" w:rsidP="00CA7FB0">
            <w:pPr>
              <w:spacing w:line="420" w:lineRule="exact"/>
              <w:ind w:left="504" w:hangingChars="180" w:hanging="504"/>
              <w:jc w:val="both"/>
              <w:rPr>
                <w:rFonts w:eastAsia="標楷體"/>
                <w:kern w:val="0"/>
                <w:sz w:val="28"/>
              </w:rPr>
            </w:pPr>
            <w:r>
              <w:rPr>
                <w:rFonts w:eastAsia="標楷體" w:hint="eastAsia"/>
                <w:kern w:val="0"/>
                <w:sz w:val="28"/>
              </w:rPr>
              <w:t>二、必要時，得提經</w:t>
            </w:r>
            <w:proofErr w:type="gramStart"/>
            <w:r>
              <w:rPr>
                <w:rFonts w:ascii="標楷體" w:eastAsia="標楷體" w:hAnsi="標楷體" w:hint="eastAsia"/>
                <w:kern w:val="0"/>
                <w:sz w:val="28"/>
                <w:szCs w:val="28"/>
              </w:rPr>
              <w:t>臺</w:t>
            </w:r>
            <w:proofErr w:type="gramEnd"/>
            <w:r>
              <w:rPr>
                <w:rFonts w:ascii="標楷體" w:eastAsia="標楷體" w:hAnsi="標楷體" w:hint="eastAsia"/>
                <w:kern w:val="0"/>
                <w:sz w:val="28"/>
                <w:szCs w:val="28"/>
              </w:rPr>
              <w:t>南市性別平等教育委員會討論議決。</w:t>
            </w:r>
          </w:p>
        </w:tc>
      </w:tr>
    </w:tbl>
    <w:p w:rsidR="000014C2" w:rsidRDefault="000014C2" w:rsidP="00A90986">
      <w:pPr>
        <w:spacing w:line="420" w:lineRule="exact"/>
        <w:rPr>
          <w:rFonts w:hint="eastAsia"/>
        </w:rPr>
      </w:pPr>
    </w:p>
    <w:p w:rsidR="009D7AB8" w:rsidRDefault="009D7AB8" w:rsidP="00A90986">
      <w:pPr>
        <w:spacing w:line="420" w:lineRule="exact"/>
        <w:rPr>
          <w:rFonts w:hint="eastAsia"/>
        </w:rPr>
      </w:pPr>
    </w:p>
    <w:p w:rsidR="009D7AB8" w:rsidRPr="007219EE" w:rsidRDefault="009D7AB8" w:rsidP="009D7AB8">
      <w:pPr>
        <w:spacing w:line="420" w:lineRule="exact"/>
        <w:rPr>
          <w:rFonts w:ascii="標楷體" w:eastAsia="標楷體" w:hAnsi="標楷體"/>
          <w:sz w:val="28"/>
          <w:szCs w:val="28"/>
        </w:rPr>
      </w:pPr>
      <w:r w:rsidRPr="007219EE">
        <w:rPr>
          <w:rFonts w:ascii="標楷體" w:eastAsia="標楷體" w:hAnsi="標楷體" w:hint="eastAsia"/>
          <w:sz w:val="28"/>
          <w:szCs w:val="28"/>
        </w:rPr>
        <w:lastRenderedPageBreak/>
        <w:t>附表</w:t>
      </w:r>
    </w:p>
    <w:p w:rsidR="009D7AB8" w:rsidRDefault="009D7AB8" w:rsidP="009D7AB8">
      <w:pPr>
        <w:spacing w:line="420" w:lineRule="exact"/>
        <w:jc w:val="center"/>
        <w:rPr>
          <w:rFonts w:ascii="標楷體" w:eastAsia="標楷體" w:hAnsi="標楷體"/>
          <w:sz w:val="40"/>
          <w:szCs w:val="28"/>
        </w:rPr>
      </w:pPr>
      <w:proofErr w:type="gramStart"/>
      <w:r w:rsidRPr="00372BFF">
        <w:rPr>
          <w:rFonts w:ascii="標楷體" w:eastAsia="標楷體" w:hAnsi="標楷體" w:hint="eastAsia"/>
          <w:sz w:val="40"/>
          <w:szCs w:val="28"/>
        </w:rPr>
        <w:t>臺</w:t>
      </w:r>
      <w:proofErr w:type="gramEnd"/>
      <w:r w:rsidRPr="00372BFF">
        <w:rPr>
          <w:rFonts w:ascii="標楷體" w:eastAsia="標楷體" w:hAnsi="標楷體" w:hint="eastAsia"/>
          <w:sz w:val="40"/>
          <w:szCs w:val="28"/>
        </w:rPr>
        <w:t>南市政府處理違反性別平等教育法</w:t>
      </w:r>
    </w:p>
    <w:p w:rsidR="009D7AB8" w:rsidRDefault="009D7AB8" w:rsidP="009D7AB8">
      <w:pPr>
        <w:spacing w:line="420" w:lineRule="exact"/>
        <w:jc w:val="center"/>
        <w:rPr>
          <w:rFonts w:ascii="標楷體" w:eastAsia="標楷體" w:hAnsi="標楷體"/>
          <w:sz w:val="40"/>
          <w:szCs w:val="28"/>
        </w:rPr>
      </w:pPr>
      <w:r w:rsidRPr="00372BFF">
        <w:rPr>
          <w:rFonts w:ascii="標楷體" w:eastAsia="標楷體" w:hAnsi="標楷體" w:hint="eastAsia"/>
          <w:sz w:val="40"/>
          <w:szCs w:val="28"/>
        </w:rPr>
        <w:t>事件裁罰基準表</w:t>
      </w:r>
    </w:p>
    <w:p w:rsidR="009D7AB8" w:rsidRPr="00AB4E1D" w:rsidRDefault="009D7AB8" w:rsidP="009D7AB8">
      <w:pPr>
        <w:spacing w:line="420" w:lineRule="exact"/>
        <w:jc w:val="right"/>
        <w:rPr>
          <w:rFonts w:ascii="標楷體" w:eastAsia="標楷體" w:hAnsi="標楷體"/>
          <w:sz w:val="28"/>
          <w:szCs w:val="28"/>
        </w:rPr>
      </w:pPr>
      <w:r w:rsidRPr="00AB4E1D">
        <w:rPr>
          <w:rFonts w:ascii="標楷體" w:eastAsia="標楷體" w:hAnsi="標楷體" w:hint="eastAsia"/>
          <w:sz w:val="28"/>
          <w:szCs w:val="28"/>
        </w:rPr>
        <w:t>單位：新台幣</w:t>
      </w:r>
    </w:p>
    <w:tbl>
      <w:tblPr>
        <w:tblW w:w="10161"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1418"/>
        <w:gridCol w:w="2127"/>
        <w:gridCol w:w="1558"/>
        <w:gridCol w:w="1561"/>
        <w:gridCol w:w="2977"/>
      </w:tblGrid>
      <w:tr w:rsidR="009D7AB8" w:rsidRPr="002F3E1D" w:rsidTr="001F4892">
        <w:trPr>
          <w:trHeight w:val="862"/>
          <w:jc w:val="center"/>
        </w:trPr>
        <w:tc>
          <w:tcPr>
            <w:tcW w:w="520" w:type="dxa"/>
          </w:tcPr>
          <w:p w:rsidR="009D7AB8" w:rsidRPr="002F3E1D" w:rsidRDefault="009D7AB8" w:rsidP="001F4892">
            <w:pPr>
              <w:spacing w:line="420" w:lineRule="exact"/>
              <w:rPr>
                <w:rFonts w:ascii="標楷體" w:eastAsia="標楷體" w:hAnsi="標楷體"/>
                <w:sz w:val="28"/>
                <w:szCs w:val="28"/>
              </w:rPr>
            </w:pPr>
            <w:r w:rsidRPr="002F3E1D">
              <w:rPr>
                <w:rFonts w:ascii="標楷體" w:eastAsia="標楷體" w:hAnsi="標楷體" w:hint="eastAsia"/>
                <w:sz w:val="28"/>
                <w:szCs w:val="28"/>
              </w:rPr>
              <w:t>項次</w:t>
            </w:r>
          </w:p>
        </w:tc>
        <w:tc>
          <w:tcPr>
            <w:tcW w:w="1418" w:type="dxa"/>
          </w:tcPr>
          <w:p w:rsidR="009D7AB8" w:rsidRPr="002F3E1D" w:rsidRDefault="009D7AB8" w:rsidP="001F4892">
            <w:pPr>
              <w:spacing w:line="420" w:lineRule="exact"/>
              <w:jc w:val="center"/>
              <w:rPr>
                <w:rFonts w:ascii="標楷體" w:eastAsia="標楷體" w:hAnsi="標楷體"/>
                <w:sz w:val="28"/>
                <w:szCs w:val="28"/>
              </w:rPr>
            </w:pPr>
            <w:r w:rsidRPr="002F3E1D">
              <w:rPr>
                <w:rFonts w:ascii="標楷體" w:eastAsia="標楷體" w:hAnsi="標楷體" w:hint="eastAsia"/>
                <w:sz w:val="28"/>
                <w:szCs w:val="28"/>
              </w:rPr>
              <w:t>違反法條</w:t>
            </w:r>
          </w:p>
        </w:tc>
        <w:tc>
          <w:tcPr>
            <w:tcW w:w="2127" w:type="dxa"/>
          </w:tcPr>
          <w:p w:rsidR="009D7AB8" w:rsidRPr="002F3E1D" w:rsidRDefault="009D7AB8" w:rsidP="001F4892">
            <w:pPr>
              <w:spacing w:line="420" w:lineRule="exact"/>
              <w:jc w:val="center"/>
              <w:rPr>
                <w:rFonts w:ascii="標楷體" w:eastAsia="標楷體" w:hAnsi="標楷體"/>
                <w:sz w:val="28"/>
                <w:szCs w:val="28"/>
              </w:rPr>
            </w:pPr>
            <w:r w:rsidRPr="002F3E1D">
              <w:rPr>
                <w:rFonts w:ascii="標楷體" w:eastAsia="標楷體" w:hAnsi="標楷體" w:hint="eastAsia"/>
                <w:sz w:val="28"/>
                <w:szCs w:val="28"/>
              </w:rPr>
              <w:t>違反事實</w:t>
            </w:r>
          </w:p>
        </w:tc>
        <w:tc>
          <w:tcPr>
            <w:tcW w:w="1558" w:type="dxa"/>
          </w:tcPr>
          <w:p w:rsidR="009D7AB8" w:rsidRPr="002F3E1D" w:rsidRDefault="009D7AB8" w:rsidP="001F4892">
            <w:pPr>
              <w:spacing w:line="420" w:lineRule="exact"/>
              <w:jc w:val="center"/>
              <w:rPr>
                <w:rFonts w:ascii="標楷體" w:eastAsia="標楷體" w:hAnsi="標楷體"/>
                <w:sz w:val="28"/>
                <w:szCs w:val="28"/>
              </w:rPr>
            </w:pPr>
            <w:r w:rsidRPr="002F3E1D">
              <w:rPr>
                <w:rFonts w:ascii="標楷體" w:eastAsia="標楷體" w:hAnsi="標楷體" w:hint="eastAsia"/>
                <w:sz w:val="28"/>
                <w:szCs w:val="28"/>
              </w:rPr>
              <w:t>裁處依據</w:t>
            </w:r>
          </w:p>
        </w:tc>
        <w:tc>
          <w:tcPr>
            <w:tcW w:w="1561" w:type="dxa"/>
          </w:tcPr>
          <w:p w:rsidR="009D7AB8" w:rsidRPr="002F3E1D" w:rsidRDefault="009D7AB8" w:rsidP="001F4892">
            <w:pPr>
              <w:spacing w:line="420" w:lineRule="exact"/>
              <w:jc w:val="center"/>
              <w:rPr>
                <w:rFonts w:ascii="標楷體" w:eastAsia="標楷體" w:hAnsi="標楷體"/>
                <w:sz w:val="28"/>
                <w:szCs w:val="28"/>
              </w:rPr>
            </w:pPr>
            <w:r w:rsidRPr="002F3E1D">
              <w:rPr>
                <w:rFonts w:ascii="標楷體" w:eastAsia="標楷體" w:hAnsi="標楷體" w:hint="eastAsia"/>
                <w:sz w:val="28"/>
                <w:szCs w:val="28"/>
              </w:rPr>
              <w:t>法定罰鍰額度</w:t>
            </w:r>
          </w:p>
        </w:tc>
        <w:tc>
          <w:tcPr>
            <w:tcW w:w="2977" w:type="dxa"/>
          </w:tcPr>
          <w:p w:rsidR="009D7AB8" w:rsidRPr="002F3E1D" w:rsidRDefault="009D7AB8" w:rsidP="001F4892">
            <w:pPr>
              <w:spacing w:line="420" w:lineRule="exact"/>
              <w:jc w:val="center"/>
              <w:rPr>
                <w:rFonts w:ascii="標楷體" w:eastAsia="標楷體" w:hAnsi="標楷體"/>
                <w:sz w:val="28"/>
                <w:szCs w:val="28"/>
              </w:rPr>
            </w:pPr>
            <w:r w:rsidRPr="002F3E1D">
              <w:rPr>
                <w:rFonts w:ascii="標楷體" w:eastAsia="標楷體" w:hAnsi="標楷體" w:hint="eastAsia"/>
                <w:sz w:val="28"/>
                <w:szCs w:val="28"/>
              </w:rPr>
              <w:t>裁罰基準</w:t>
            </w:r>
          </w:p>
        </w:tc>
      </w:tr>
      <w:tr w:rsidR="009D7AB8" w:rsidRPr="002F3E1D" w:rsidTr="001F4892">
        <w:trPr>
          <w:trHeight w:val="2229"/>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proofErr w:type="gramStart"/>
            <w:r w:rsidRPr="002F3E1D">
              <w:rPr>
                <w:rFonts w:ascii="標楷體" w:eastAsia="標楷體" w:hAnsi="標楷體" w:hint="eastAsia"/>
                <w:sz w:val="28"/>
                <w:szCs w:val="28"/>
              </w:rPr>
              <w:t>一</w:t>
            </w:r>
            <w:proofErr w:type="gramEnd"/>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十三</w:t>
            </w:r>
            <w:r w:rsidRPr="002F3E1D">
              <w:rPr>
                <w:rFonts w:ascii="標楷體" w:eastAsia="標楷體" w:hAnsi="標楷體"/>
                <w:sz w:val="28"/>
                <w:szCs w:val="28"/>
              </w:rPr>
              <w:t>條</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學校之招生及就學許可有性別、性別特質、性別認同或性傾向之差別待遇</w:t>
            </w:r>
            <w:r w:rsidRPr="002F3E1D">
              <w:rPr>
                <w:rFonts w:ascii="標楷體" w:eastAsia="標楷體" w:hAnsi="標楷體" w:hint="eastAsia"/>
                <w:sz w:val="28"/>
                <w:szCs w:val="28"/>
              </w:rPr>
              <w:t>，</w:t>
            </w:r>
            <w:r w:rsidRPr="002F3E1D">
              <w:rPr>
                <w:rFonts w:ascii="標楷體" w:eastAsia="標楷體" w:hAnsi="標楷體"/>
                <w:sz w:val="28"/>
                <w:szCs w:val="28"/>
              </w:rPr>
              <w:t>且並無基於歷史傳統、特定教育目標或其他非因性別因素之正當理由，而經該管主管機關核准之情形。</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p w:rsidR="009D7AB8" w:rsidRPr="002F3E1D" w:rsidRDefault="009D7AB8" w:rsidP="001F4892">
            <w:pPr>
              <w:spacing w:line="420" w:lineRule="exact"/>
              <w:jc w:val="both"/>
              <w:rPr>
                <w:rFonts w:ascii="標楷體" w:eastAsia="標楷體" w:hAnsi="標楷體"/>
                <w:sz w:val="28"/>
                <w:szCs w:val="28"/>
              </w:rPr>
            </w:pP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hint="eastAsia"/>
                <w:sz w:val="28"/>
                <w:szCs w:val="28"/>
              </w:rPr>
              <w:t>三</w:t>
            </w:r>
            <w:r w:rsidRPr="002F3E1D">
              <w:rPr>
                <w:rFonts w:ascii="標楷體" w:eastAsia="標楷體" w:hAnsi="標楷體"/>
                <w:sz w:val="28"/>
                <w:szCs w:val="28"/>
              </w:rPr>
              <w:t>、第三次以上：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416"/>
          <w:jc w:val="center"/>
        </w:trPr>
        <w:tc>
          <w:tcPr>
            <w:tcW w:w="520" w:type="dxa"/>
            <w:vMerge w:val="restart"/>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二</w:t>
            </w:r>
          </w:p>
        </w:tc>
        <w:tc>
          <w:tcPr>
            <w:tcW w:w="1418" w:type="dxa"/>
            <w:vMerge w:val="restart"/>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十四</w:t>
            </w:r>
            <w:r w:rsidRPr="002F3E1D">
              <w:rPr>
                <w:rFonts w:ascii="標楷體" w:eastAsia="標楷體" w:hAnsi="標楷體"/>
                <w:sz w:val="28"/>
                <w:szCs w:val="28"/>
              </w:rPr>
              <w:t>條</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學校因學生之性別、性別特質、性別認同或性傾向而給予教學、活動、評量、獎懲、福利及服務上之差別待遇</w:t>
            </w:r>
            <w:r w:rsidRPr="002F3E1D">
              <w:rPr>
                <w:rFonts w:ascii="標楷體" w:eastAsia="標楷體" w:hAnsi="標楷體" w:hint="eastAsia"/>
                <w:sz w:val="28"/>
                <w:szCs w:val="28"/>
              </w:rPr>
              <w:t>，</w:t>
            </w:r>
            <w:r w:rsidRPr="002F3E1D">
              <w:rPr>
                <w:rFonts w:ascii="標楷體" w:eastAsia="標楷體" w:hAnsi="標楷體"/>
                <w:sz w:val="28"/>
                <w:szCs w:val="28"/>
              </w:rPr>
              <w:t>且並無性質上僅適合特定性別、性別特質、性別認同或性傾向者之情形。</w:t>
            </w:r>
          </w:p>
        </w:tc>
        <w:tc>
          <w:tcPr>
            <w:tcW w:w="1558" w:type="dxa"/>
            <w:vMerge w:val="restart"/>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p w:rsidR="009D7AB8" w:rsidRPr="002F3E1D" w:rsidRDefault="009D7AB8" w:rsidP="001F4892">
            <w:pPr>
              <w:spacing w:line="420" w:lineRule="exact"/>
              <w:jc w:val="both"/>
              <w:rPr>
                <w:rFonts w:ascii="標楷體" w:eastAsia="標楷體" w:hAnsi="標楷體" w:hint="eastAsia"/>
                <w:sz w:val="28"/>
                <w:szCs w:val="28"/>
              </w:rPr>
            </w:pPr>
          </w:p>
        </w:tc>
        <w:tc>
          <w:tcPr>
            <w:tcW w:w="1561" w:type="dxa"/>
            <w:vMerge w:val="restart"/>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vMerge w:val="restart"/>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3392"/>
          <w:jc w:val="center"/>
        </w:trPr>
        <w:tc>
          <w:tcPr>
            <w:tcW w:w="520" w:type="dxa"/>
            <w:vMerge/>
          </w:tcPr>
          <w:p w:rsidR="009D7AB8" w:rsidRPr="002F3E1D" w:rsidRDefault="009D7AB8" w:rsidP="001F4892">
            <w:pPr>
              <w:spacing w:line="420" w:lineRule="exact"/>
              <w:jc w:val="both"/>
              <w:rPr>
                <w:rFonts w:ascii="標楷體" w:eastAsia="標楷體" w:hAnsi="標楷體"/>
                <w:sz w:val="28"/>
                <w:szCs w:val="28"/>
              </w:rPr>
            </w:pPr>
          </w:p>
        </w:tc>
        <w:tc>
          <w:tcPr>
            <w:tcW w:w="1418" w:type="dxa"/>
            <w:vMerge/>
          </w:tcPr>
          <w:p w:rsidR="009D7AB8" w:rsidRPr="002F3E1D" w:rsidRDefault="009D7AB8" w:rsidP="001F4892">
            <w:pPr>
              <w:spacing w:line="420" w:lineRule="exact"/>
              <w:jc w:val="both"/>
              <w:rPr>
                <w:rFonts w:ascii="標楷體" w:eastAsia="標楷體" w:hAnsi="標楷體"/>
                <w:sz w:val="28"/>
                <w:szCs w:val="28"/>
              </w:rPr>
            </w:pP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w:t>
            </w:r>
            <w:r w:rsidRPr="002F3E1D">
              <w:rPr>
                <w:rFonts w:ascii="標楷體" w:eastAsia="標楷體" w:hAnsi="標楷體" w:hint="eastAsia"/>
                <w:sz w:val="28"/>
                <w:szCs w:val="28"/>
              </w:rPr>
              <w:t>未</w:t>
            </w:r>
            <w:r w:rsidRPr="002F3E1D">
              <w:rPr>
                <w:rFonts w:ascii="標楷體" w:eastAsia="標楷體" w:hAnsi="標楷體"/>
                <w:sz w:val="28"/>
                <w:szCs w:val="28"/>
              </w:rPr>
              <w:t>對因性別、性別特質、性別認同或性傾向而處於不利處境之學生積極提供協助，以改善其處境。</w:t>
            </w:r>
          </w:p>
        </w:tc>
        <w:tc>
          <w:tcPr>
            <w:tcW w:w="1558" w:type="dxa"/>
            <w:vMerge/>
          </w:tcPr>
          <w:p w:rsidR="009D7AB8" w:rsidRPr="002F3E1D" w:rsidRDefault="009D7AB8" w:rsidP="001F4892">
            <w:pPr>
              <w:spacing w:line="420" w:lineRule="exact"/>
              <w:jc w:val="both"/>
              <w:rPr>
                <w:rFonts w:ascii="標楷體" w:eastAsia="標楷體" w:hAnsi="標楷體"/>
                <w:sz w:val="28"/>
                <w:szCs w:val="28"/>
              </w:rPr>
            </w:pPr>
          </w:p>
        </w:tc>
        <w:tc>
          <w:tcPr>
            <w:tcW w:w="1561" w:type="dxa"/>
            <w:vMerge/>
          </w:tcPr>
          <w:p w:rsidR="009D7AB8" w:rsidRPr="002F3E1D" w:rsidRDefault="009D7AB8" w:rsidP="001F4892">
            <w:pPr>
              <w:spacing w:line="420" w:lineRule="exact"/>
              <w:jc w:val="both"/>
              <w:rPr>
                <w:rFonts w:ascii="標楷體" w:eastAsia="標楷體" w:hAnsi="標楷體"/>
                <w:sz w:val="28"/>
                <w:szCs w:val="28"/>
              </w:rPr>
            </w:pPr>
          </w:p>
        </w:tc>
        <w:tc>
          <w:tcPr>
            <w:tcW w:w="2977" w:type="dxa"/>
            <w:vMerge/>
          </w:tcPr>
          <w:p w:rsidR="009D7AB8" w:rsidRPr="002F3E1D" w:rsidRDefault="009D7AB8" w:rsidP="001F4892">
            <w:pPr>
              <w:spacing w:line="420" w:lineRule="exact"/>
              <w:jc w:val="both"/>
              <w:rPr>
                <w:rFonts w:ascii="標楷體" w:eastAsia="標楷體" w:hAnsi="標楷體"/>
                <w:sz w:val="28"/>
                <w:szCs w:val="28"/>
              </w:rPr>
            </w:pPr>
          </w:p>
        </w:tc>
      </w:tr>
      <w:tr w:rsidR="009D7AB8" w:rsidRPr="002F3E1D" w:rsidTr="001F4892">
        <w:trPr>
          <w:trHeight w:val="1372"/>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三</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十四</w:t>
            </w:r>
            <w:r w:rsidRPr="002F3E1D">
              <w:rPr>
                <w:rFonts w:ascii="標楷體" w:eastAsia="標楷體" w:hAnsi="標楷體"/>
                <w:sz w:val="28"/>
                <w:szCs w:val="28"/>
              </w:rPr>
              <w:t>條之</w:t>
            </w:r>
            <w:proofErr w:type="gramStart"/>
            <w:r w:rsidRPr="002F3E1D">
              <w:rPr>
                <w:rFonts w:ascii="標楷體" w:eastAsia="標楷體" w:hAnsi="標楷體" w:hint="eastAsia"/>
                <w:sz w:val="28"/>
                <w:szCs w:val="28"/>
              </w:rPr>
              <w:t>一</w:t>
            </w:r>
            <w:proofErr w:type="gramEnd"/>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學校未積極維護懷孕學生之受教權，並提供必要之協助。</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2229"/>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四</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十六</w:t>
            </w:r>
            <w:r w:rsidRPr="002F3E1D">
              <w:rPr>
                <w:rFonts w:ascii="標楷體" w:eastAsia="標楷體" w:hAnsi="標楷體"/>
                <w:sz w:val="28"/>
                <w:szCs w:val="28"/>
              </w:rPr>
              <w:t>條</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學校之考績委員會、申訴評議委員會、教師評審委員會之組成，任</w:t>
            </w:r>
            <w:proofErr w:type="gramStart"/>
            <w:r w:rsidRPr="002F3E1D">
              <w:rPr>
                <w:rFonts w:ascii="標楷體" w:eastAsia="標楷體" w:hAnsi="標楷體"/>
                <w:sz w:val="28"/>
                <w:szCs w:val="28"/>
              </w:rPr>
              <w:t>一</w:t>
            </w:r>
            <w:proofErr w:type="gramEnd"/>
            <w:r w:rsidRPr="002F3E1D">
              <w:rPr>
                <w:rFonts w:ascii="標楷體" w:eastAsia="標楷體" w:hAnsi="標楷體"/>
                <w:sz w:val="28"/>
                <w:szCs w:val="28"/>
              </w:rPr>
              <w:t>性別委員未達總數三分之一以上，且</w:t>
            </w:r>
            <w:r w:rsidRPr="002F3E1D">
              <w:rPr>
                <w:rFonts w:ascii="標楷體" w:eastAsia="標楷體" w:hAnsi="標楷體" w:hint="eastAsia"/>
                <w:sz w:val="28"/>
                <w:szCs w:val="28"/>
              </w:rPr>
              <w:t>無</w:t>
            </w:r>
            <w:r w:rsidRPr="002F3E1D">
              <w:rPr>
                <w:rFonts w:ascii="標楷體" w:eastAsia="標楷體" w:hAnsi="標楷體"/>
                <w:sz w:val="28"/>
                <w:szCs w:val="28"/>
              </w:rPr>
              <w:t>考績委員會及教師評審委員會因該校任</w:t>
            </w:r>
            <w:proofErr w:type="gramStart"/>
            <w:r w:rsidRPr="002F3E1D">
              <w:rPr>
                <w:rFonts w:ascii="標楷體" w:eastAsia="標楷體" w:hAnsi="標楷體"/>
                <w:sz w:val="28"/>
                <w:szCs w:val="28"/>
              </w:rPr>
              <w:t>一</w:t>
            </w:r>
            <w:proofErr w:type="gramEnd"/>
            <w:r w:rsidRPr="002F3E1D">
              <w:rPr>
                <w:rFonts w:ascii="標楷體" w:eastAsia="標楷體" w:hAnsi="標楷體"/>
                <w:sz w:val="28"/>
                <w:szCs w:val="28"/>
              </w:rPr>
              <w:t>性別教師人數少於委員總數三分之一</w:t>
            </w:r>
            <w:r w:rsidRPr="002F3E1D">
              <w:rPr>
                <w:rFonts w:ascii="標楷體" w:eastAsia="標楷體" w:hAnsi="標楷體" w:hint="eastAsia"/>
                <w:sz w:val="28"/>
                <w:szCs w:val="28"/>
              </w:rPr>
              <w:t>之情形</w:t>
            </w:r>
            <w:r w:rsidRPr="002F3E1D">
              <w:rPr>
                <w:rFonts w:ascii="標楷體" w:eastAsia="標楷體" w:hAnsi="標楷體"/>
                <w:sz w:val="28"/>
                <w:szCs w:val="28"/>
              </w:rPr>
              <w:t>。</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2224"/>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五</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二十</w:t>
            </w:r>
            <w:r w:rsidRPr="002F3E1D">
              <w:rPr>
                <w:rFonts w:ascii="標楷體" w:eastAsia="標楷體" w:hAnsi="標楷體"/>
                <w:sz w:val="28"/>
                <w:szCs w:val="28"/>
              </w:rPr>
              <w:t>條第</w:t>
            </w:r>
            <w:r w:rsidRPr="002F3E1D">
              <w:rPr>
                <w:rFonts w:ascii="標楷體" w:eastAsia="標楷體" w:hAnsi="標楷體" w:hint="eastAsia"/>
                <w:sz w:val="28"/>
                <w:szCs w:val="28"/>
              </w:rPr>
              <w:t>二</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學校未依校園性侵害性騷擾及</w:t>
            </w:r>
            <w:proofErr w:type="gramStart"/>
            <w:r w:rsidRPr="002F3E1D">
              <w:rPr>
                <w:rFonts w:ascii="標楷體" w:eastAsia="標楷體" w:hAnsi="標楷體"/>
                <w:sz w:val="28"/>
                <w:szCs w:val="28"/>
              </w:rPr>
              <w:t>性霸凌</w:t>
            </w:r>
            <w:proofErr w:type="gramEnd"/>
            <w:r w:rsidRPr="002F3E1D">
              <w:rPr>
                <w:rFonts w:ascii="標楷體" w:eastAsia="標楷體" w:hAnsi="標楷體"/>
                <w:sz w:val="28"/>
                <w:szCs w:val="28"/>
              </w:rPr>
              <w:t>防治準則訂定防治規定，並公告周知。</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1547"/>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六</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二十二</w:t>
            </w:r>
            <w:r w:rsidRPr="002F3E1D">
              <w:rPr>
                <w:rFonts w:ascii="標楷體" w:eastAsia="標楷體" w:hAnsi="標楷體"/>
                <w:sz w:val="28"/>
                <w:szCs w:val="28"/>
              </w:rPr>
              <w:t>條第</w:t>
            </w:r>
            <w:r w:rsidRPr="002F3E1D">
              <w:rPr>
                <w:rFonts w:ascii="標楷體" w:eastAsia="標楷體" w:hAnsi="標楷體" w:hint="eastAsia"/>
                <w:sz w:val="28"/>
                <w:szCs w:val="28"/>
              </w:rPr>
              <w:t>二</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學校調查處理校園性侵害、性騷擾或</w:t>
            </w:r>
            <w:proofErr w:type="gramStart"/>
            <w:r w:rsidRPr="002F3E1D">
              <w:rPr>
                <w:rFonts w:ascii="標楷體" w:eastAsia="標楷體" w:hAnsi="標楷體"/>
                <w:sz w:val="28"/>
                <w:szCs w:val="28"/>
              </w:rPr>
              <w:t>性霸凌</w:t>
            </w:r>
            <w:proofErr w:type="gramEnd"/>
            <w:r w:rsidRPr="002F3E1D">
              <w:rPr>
                <w:rFonts w:ascii="標楷體" w:eastAsia="標楷體" w:hAnsi="標楷體"/>
                <w:sz w:val="28"/>
                <w:szCs w:val="28"/>
              </w:rPr>
              <w:lastRenderedPageBreak/>
              <w:t>事件時，未對當事人及檢舉人之姓名或其他足以辨識身分之資料予以保密。</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lastRenderedPageBreak/>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w:t>
            </w:r>
            <w:r w:rsidRPr="002F3E1D">
              <w:rPr>
                <w:rFonts w:ascii="標楷體" w:eastAsia="標楷體" w:hAnsi="標楷體" w:hint="eastAsia"/>
                <w:sz w:val="28"/>
                <w:szCs w:val="28"/>
              </w:rPr>
              <w:t>、</w:t>
            </w:r>
            <w:r w:rsidRPr="002F3E1D">
              <w:rPr>
                <w:rFonts w:ascii="標楷體" w:eastAsia="標楷體" w:hAnsi="標楷體"/>
                <w:sz w:val="28"/>
                <w:szCs w:val="28"/>
              </w:rPr>
              <w:t>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w:t>
            </w:r>
            <w:r w:rsidRPr="002F3E1D">
              <w:rPr>
                <w:rFonts w:ascii="標楷體" w:eastAsia="標楷體" w:hAnsi="標楷體" w:hint="eastAsia"/>
                <w:sz w:val="28"/>
                <w:szCs w:val="28"/>
              </w:rPr>
              <w:t>、</w:t>
            </w:r>
            <w:r w:rsidRPr="002F3E1D">
              <w:rPr>
                <w:rFonts w:ascii="標楷體" w:eastAsia="標楷體" w:hAnsi="標楷體"/>
                <w:sz w:val="28"/>
                <w:szCs w:val="28"/>
              </w:rPr>
              <w:t>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w:t>
            </w:r>
            <w:r w:rsidRPr="002F3E1D">
              <w:rPr>
                <w:rFonts w:ascii="標楷體" w:eastAsia="標楷體" w:hAnsi="標楷體" w:hint="eastAsia"/>
                <w:sz w:val="28"/>
                <w:szCs w:val="28"/>
              </w:rPr>
              <w:t>、</w:t>
            </w:r>
            <w:r w:rsidRPr="002F3E1D">
              <w:rPr>
                <w:rFonts w:ascii="標楷體" w:eastAsia="標楷體" w:hAnsi="標楷體"/>
                <w:sz w:val="28"/>
                <w:szCs w:val="28"/>
              </w:rPr>
              <w:t>第三次以上：</w:t>
            </w:r>
            <w:r w:rsidRPr="002F3E1D">
              <w:rPr>
                <w:rFonts w:ascii="標楷體" w:eastAsia="標楷體" w:hAnsi="標楷體" w:hint="eastAsia"/>
                <w:sz w:val="28"/>
                <w:szCs w:val="28"/>
              </w:rPr>
              <w:t>每次</w:t>
            </w:r>
            <w:r w:rsidRPr="002F3E1D">
              <w:rPr>
                <w:rFonts w:ascii="標楷體" w:eastAsia="標楷體" w:hAnsi="標楷體"/>
                <w:sz w:val="28"/>
                <w:szCs w:val="28"/>
              </w:rPr>
              <w:lastRenderedPageBreak/>
              <w:t>十萬元。</w:t>
            </w:r>
          </w:p>
        </w:tc>
      </w:tr>
      <w:tr w:rsidR="009D7AB8" w:rsidRPr="002F3E1D" w:rsidTr="001F4892">
        <w:trPr>
          <w:trHeight w:val="341"/>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lastRenderedPageBreak/>
              <w:t>七</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二十七</w:t>
            </w:r>
            <w:r w:rsidRPr="002F3E1D">
              <w:rPr>
                <w:rFonts w:ascii="標楷體" w:eastAsia="標楷體" w:hAnsi="標楷體"/>
                <w:sz w:val="28"/>
                <w:szCs w:val="28"/>
              </w:rPr>
              <w:t>條第</w:t>
            </w:r>
            <w:r w:rsidRPr="002F3E1D">
              <w:rPr>
                <w:rFonts w:ascii="標楷體" w:eastAsia="標楷體" w:hAnsi="標楷體" w:hint="eastAsia"/>
                <w:sz w:val="28"/>
                <w:szCs w:val="28"/>
              </w:rPr>
              <w:t>三</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接獲加害人通報之學校，無正當理由公布加害人之姓名或其他足以識別其身分之資料。</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一萬元以上十萬元以下罰鍰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w:t>
            </w:r>
            <w:r w:rsidRPr="002F3E1D">
              <w:rPr>
                <w:rFonts w:ascii="標楷體" w:eastAsia="標楷體" w:hAnsi="標楷體" w:hint="eastAsia"/>
                <w:sz w:val="28"/>
                <w:szCs w:val="28"/>
              </w:rPr>
              <w:t>、</w:t>
            </w:r>
            <w:r w:rsidRPr="002F3E1D">
              <w:rPr>
                <w:rFonts w:ascii="標楷體" w:eastAsia="標楷體" w:hAnsi="標楷體"/>
                <w:sz w:val="28"/>
                <w:szCs w:val="28"/>
              </w:rPr>
              <w:t>第一次：一萬元。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二</w:t>
            </w:r>
            <w:r w:rsidRPr="002F3E1D">
              <w:rPr>
                <w:rFonts w:ascii="標楷體" w:eastAsia="標楷體" w:hAnsi="標楷體" w:hint="eastAsia"/>
                <w:sz w:val="28"/>
                <w:szCs w:val="28"/>
              </w:rPr>
              <w:t>、</w:t>
            </w:r>
            <w:r w:rsidRPr="002F3E1D">
              <w:rPr>
                <w:rFonts w:ascii="標楷體" w:eastAsia="標楷體" w:hAnsi="標楷體"/>
                <w:sz w:val="28"/>
                <w:szCs w:val="28"/>
              </w:rPr>
              <w:t>第二次：五萬元。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t>三</w:t>
            </w:r>
            <w:r w:rsidRPr="002F3E1D">
              <w:rPr>
                <w:rFonts w:ascii="標楷體" w:eastAsia="標楷體" w:hAnsi="標楷體" w:hint="eastAsia"/>
                <w:sz w:val="28"/>
                <w:szCs w:val="28"/>
              </w:rPr>
              <w:t>、</w:t>
            </w:r>
            <w:r w:rsidRPr="002F3E1D">
              <w:rPr>
                <w:rFonts w:ascii="標楷體" w:eastAsia="標楷體" w:hAnsi="標楷體"/>
                <w:sz w:val="28"/>
                <w:szCs w:val="28"/>
              </w:rPr>
              <w:t>第三次以上：</w:t>
            </w:r>
            <w:r w:rsidRPr="002F3E1D">
              <w:rPr>
                <w:rFonts w:ascii="標楷體" w:eastAsia="標楷體" w:hAnsi="標楷體" w:hint="eastAsia"/>
                <w:sz w:val="28"/>
                <w:szCs w:val="28"/>
              </w:rPr>
              <w:t>每次</w:t>
            </w:r>
            <w:r w:rsidRPr="002F3E1D">
              <w:rPr>
                <w:rFonts w:ascii="標楷體" w:eastAsia="標楷體" w:hAnsi="標楷體"/>
                <w:sz w:val="28"/>
                <w:szCs w:val="28"/>
              </w:rPr>
              <w:t>十萬元。</w:t>
            </w:r>
          </w:p>
        </w:tc>
      </w:tr>
      <w:tr w:rsidR="009D7AB8" w:rsidRPr="002F3E1D" w:rsidTr="001F4892">
        <w:trPr>
          <w:trHeight w:val="77"/>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八</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w:t>
            </w:r>
            <w:r w:rsidRPr="002F3E1D">
              <w:rPr>
                <w:rFonts w:ascii="標楷體" w:eastAsia="標楷體" w:hAnsi="標楷體"/>
                <w:sz w:val="28"/>
                <w:szCs w:val="28"/>
              </w:rPr>
              <w:t>條第</w:t>
            </w:r>
            <w:r w:rsidRPr="002F3E1D">
              <w:rPr>
                <w:rFonts w:ascii="標楷體" w:eastAsia="標楷體" w:hAnsi="標楷體" w:hint="eastAsia"/>
                <w:sz w:val="28"/>
                <w:szCs w:val="28"/>
              </w:rPr>
              <w:t>四</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性別平等教育委員會或調查小組依本法規定進行調查時，行為人無正當理由拒絕配合，或</w:t>
            </w:r>
            <w:r w:rsidRPr="002F3E1D">
              <w:rPr>
                <w:rFonts w:ascii="標楷體" w:eastAsia="標楷體" w:hAnsi="標楷體" w:hint="eastAsia"/>
                <w:sz w:val="28"/>
                <w:szCs w:val="28"/>
              </w:rPr>
              <w:t>拒絕</w:t>
            </w:r>
            <w:r w:rsidRPr="002F3E1D">
              <w:rPr>
                <w:rFonts w:ascii="標楷體" w:eastAsia="標楷體" w:hAnsi="標楷體"/>
                <w:sz w:val="28"/>
                <w:szCs w:val="28"/>
              </w:rPr>
              <w:t>提供相關資料。</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二</w:t>
            </w:r>
            <w:r w:rsidRPr="002F3E1D">
              <w:rPr>
                <w:rFonts w:ascii="標楷體" w:eastAsia="標楷體" w:hAnsi="標楷體"/>
                <w:sz w:val="28"/>
                <w:szCs w:val="28"/>
              </w:rPr>
              <w:t>項</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一萬元以上五萬元以下罰鍰</w:t>
            </w:r>
          </w:p>
          <w:p w:rsidR="009D7AB8" w:rsidRPr="002F3E1D" w:rsidRDefault="009D7AB8" w:rsidP="001F4892">
            <w:pPr>
              <w:spacing w:line="420" w:lineRule="exact"/>
              <w:jc w:val="both"/>
              <w:rPr>
                <w:rFonts w:ascii="標楷體" w:eastAsia="標楷體" w:hAnsi="標楷體"/>
                <w:sz w:val="28"/>
                <w:szCs w:val="28"/>
              </w:rPr>
            </w:pPr>
          </w:p>
        </w:tc>
        <w:tc>
          <w:tcPr>
            <w:tcW w:w="2977" w:type="dxa"/>
          </w:tcPr>
          <w:p w:rsidR="009D7AB8" w:rsidRPr="002F3E1D" w:rsidRDefault="009D7AB8" w:rsidP="001F4892">
            <w:pPr>
              <w:spacing w:line="420" w:lineRule="exact"/>
              <w:jc w:val="both"/>
              <w:rPr>
                <w:rFonts w:ascii="標楷體" w:eastAsia="標楷體" w:hAnsi="標楷體"/>
                <w:sz w:val="28"/>
                <w:szCs w:val="28"/>
              </w:rPr>
            </w:pPr>
            <w:r>
              <w:rPr>
                <w:rFonts w:ascii="標楷體" w:eastAsia="標楷體" w:hAnsi="標楷體" w:hint="eastAsia"/>
                <w:sz w:val="28"/>
                <w:szCs w:val="28"/>
              </w:rPr>
              <w:t>於同一調查事件，經</w:t>
            </w:r>
            <w:r w:rsidRPr="002F3E1D">
              <w:rPr>
                <w:rFonts w:ascii="標楷體" w:eastAsia="標楷體" w:hAnsi="標楷體" w:hint="eastAsia"/>
                <w:sz w:val="28"/>
                <w:szCs w:val="28"/>
              </w:rPr>
              <w:t>通知行為人限期改善配合調查或提供資料，屆期未改善者，按次連續處罰至其配合為止：</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w:t>
            </w:r>
            <w:proofErr w:type="gramStart"/>
            <w:r w:rsidRPr="002F3E1D">
              <w:rPr>
                <w:rFonts w:ascii="標楷體" w:eastAsia="標楷體" w:hAnsi="標楷體" w:hint="eastAsia"/>
                <w:sz w:val="28"/>
                <w:szCs w:val="28"/>
              </w:rPr>
              <w:t>一</w:t>
            </w:r>
            <w:proofErr w:type="gramEnd"/>
            <w:r w:rsidRPr="002F3E1D">
              <w:rPr>
                <w:rFonts w:ascii="標楷體" w:eastAsia="標楷體" w:hAnsi="標楷體" w:hint="eastAsia"/>
                <w:sz w:val="28"/>
                <w:szCs w:val="28"/>
              </w:rPr>
              <w:t>)</w:t>
            </w:r>
            <w:r w:rsidRPr="002F3E1D">
              <w:rPr>
                <w:rFonts w:ascii="標楷體" w:eastAsia="標楷體" w:hAnsi="標楷體"/>
                <w:sz w:val="28"/>
                <w:szCs w:val="28"/>
              </w:rPr>
              <w:t>第一次</w:t>
            </w:r>
            <w:r w:rsidRPr="002F3E1D">
              <w:rPr>
                <w:rFonts w:ascii="標楷體" w:eastAsia="標楷體" w:hAnsi="標楷體" w:hint="eastAsia"/>
                <w:sz w:val="28"/>
                <w:szCs w:val="28"/>
              </w:rPr>
              <w:t>：</w:t>
            </w:r>
            <w:r w:rsidRPr="002F3E1D">
              <w:rPr>
                <w:rFonts w:ascii="標楷體" w:eastAsia="標楷體" w:hAnsi="標楷體"/>
                <w:sz w:val="28"/>
                <w:szCs w:val="28"/>
              </w:rPr>
              <w:t>一萬元。</w:t>
            </w:r>
          </w:p>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二</w:t>
            </w:r>
            <w:r w:rsidRPr="002F3E1D">
              <w:rPr>
                <w:rFonts w:ascii="標楷體" w:eastAsia="標楷體" w:hAnsi="標楷體" w:hint="eastAsia"/>
                <w:sz w:val="28"/>
                <w:szCs w:val="28"/>
              </w:rPr>
              <w:t>)</w:t>
            </w:r>
            <w:r w:rsidRPr="002F3E1D">
              <w:rPr>
                <w:rFonts w:ascii="標楷體" w:eastAsia="標楷體" w:hAnsi="標楷體"/>
                <w:sz w:val="28"/>
                <w:szCs w:val="28"/>
              </w:rPr>
              <w:t>第二次</w:t>
            </w:r>
            <w:r w:rsidRPr="002F3E1D">
              <w:rPr>
                <w:rFonts w:ascii="標楷體" w:eastAsia="標楷體" w:hAnsi="標楷體" w:hint="eastAsia"/>
                <w:sz w:val="28"/>
                <w:szCs w:val="28"/>
              </w:rPr>
              <w:t>：</w:t>
            </w:r>
            <w:r w:rsidRPr="002F3E1D">
              <w:rPr>
                <w:rFonts w:ascii="標楷體" w:eastAsia="標楷體" w:hAnsi="標楷體"/>
                <w:sz w:val="28"/>
                <w:szCs w:val="28"/>
              </w:rPr>
              <w:t>三萬元。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三</w:t>
            </w:r>
            <w:r w:rsidRPr="002F3E1D">
              <w:rPr>
                <w:rFonts w:ascii="標楷體" w:eastAsia="標楷體" w:hAnsi="標楷體" w:hint="eastAsia"/>
                <w:sz w:val="28"/>
                <w:szCs w:val="28"/>
              </w:rPr>
              <w:t>)</w:t>
            </w:r>
            <w:r w:rsidRPr="002F3E1D">
              <w:rPr>
                <w:rFonts w:ascii="標楷體" w:eastAsia="標楷體" w:hAnsi="標楷體"/>
                <w:sz w:val="28"/>
                <w:szCs w:val="28"/>
              </w:rPr>
              <w:t>第三次以上</w:t>
            </w:r>
            <w:r w:rsidRPr="002F3E1D">
              <w:rPr>
                <w:rFonts w:ascii="標楷體" w:eastAsia="標楷體" w:hAnsi="標楷體" w:hint="eastAsia"/>
                <w:sz w:val="28"/>
                <w:szCs w:val="28"/>
              </w:rPr>
              <w:t>：</w:t>
            </w:r>
            <w:r w:rsidRPr="002F3E1D">
              <w:rPr>
                <w:rFonts w:ascii="標楷體" w:eastAsia="標楷體" w:hAnsi="標楷體"/>
                <w:sz w:val="28"/>
                <w:szCs w:val="28"/>
              </w:rPr>
              <w:t>每次五萬元</w:t>
            </w:r>
            <w:r w:rsidRPr="002F3E1D">
              <w:rPr>
                <w:rFonts w:ascii="標楷體" w:eastAsia="標楷體" w:hAnsi="標楷體" w:hint="eastAsia"/>
                <w:sz w:val="28"/>
                <w:szCs w:val="28"/>
              </w:rPr>
              <w:t>。</w:t>
            </w:r>
          </w:p>
        </w:tc>
      </w:tr>
      <w:tr w:rsidR="009D7AB8" w:rsidRPr="002F3E1D" w:rsidTr="001F4892">
        <w:trPr>
          <w:trHeight w:val="77"/>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t>九</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二十一</w:t>
            </w:r>
            <w:r w:rsidRPr="002F3E1D">
              <w:rPr>
                <w:rFonts w:ascii="標楷體" w:eastAsia="標楷體" w:hAnsi="標楷體"/>
                <w:sz w:val="28"/>
                <w:szCs w:val="28"/>
              </w:rPr>
              <w:t>條第</w:t>
            </w:r>
            <w:r w:rsidRPr="002F3E1D">
              <w:rPr>
                <w:rFonts w:ascii="標楷體" w:eastAsia="標楷體" w:hAnsi="標楷體" w:hint="eastAsia"/>
                <w:sz w:val="28"/>
                <w:szCs w:val="28"/>
              </w:rPr>
              <w:t>一</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學校校長、教師、職員或工友知悉服務學校發生疑似校園性侵害、性騷擾或</w:t>
            </w:r>
            <w:proofErr w:type="gramStart"/>
            <w:r w:rsidRPr="002F3E1D">
              <w:rPr>
                <w:rFonts w:ascii="標楷體" w:eastAsia="標楷體" w:hAnsi="標楷體"/>
                <w:sz w:val="28"/>
                <w:szCs w:val="28"/>
              </w:rPr>
              <w:t>性霸凌</w:t>
            </w:r>
            <w:proofErr w:type="gramEnd"/>
            <w:r w:rsidRPr="002F3E1D">
              <w:rPr>
                <w:rFonts w:ascii="標楷體" w:eastAsia="標楷體" w:hAnsi="標楷體"/>
                <w:sz w:val="28"/>
                <w:szCs w:val="28"/>
              </w:rPr>
              <w:t>事件，未於二十四小時內，</w:t>
            </w:r>
            <w:r w:rsidRPr="002F3E1D">
              <w:rPr>
                <w:rFonts w:ascii="標楷體" w:eastAsia="標楷體" w:hAnsi="標楷體" w:hint="eastAsia"/>
                <w:sz w:val="28"/>
                <w:szCs w:val="28"/>
              </w:rPr>
              <w:t>依學校防治規定所定權責，</w:t>
            </w:r>
            <w:r w:rsidRPr="002F3E1D">
              <w:rPr>
                <w:rFonts w:ascii="標楷體" w:eastAsia="標楷體" w:hAnsi="標楷體"/>
                <w:sz w:val="28"/>
                <w:szCs w:val="28"/>
              </w:rPr>
              <w:t>向學校及</w:t>
            </w:r>
            <w:r w:rsidRPr="002F3E1D">
              <w:rPr>
                <w:rFonts w:ascii="標楷體" w:eastAsia="標楷體" w:hAnsi="標楷體" w:hint="eastAsia"/>
                <w:sz w:val="28"/>
                <w:szCs w:val="28"/>
              </w:rPr>
              <w:t>本市</w:t>
            </w:r>
            <w:r w:rsidRPr="002F3E1D">
              <w:rPr>
                <w:rFonts w:ascii="標楷體" w:eastAsia="標楷體" w:hAnsi="標楷體"/>
                <w:sz w:val="28"/>
                <w:szCs w:val="28"/>
              </w:rPr>
              <w:t>主管機關通報。</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三</w:t>
            </w:r>
            <w:r w:rsidRPr="002F3E1D">
              <w:rPr>
                <w:rFonts w:ascii="標楷體" w:eastAsia="標楷體" w:hAnsi="標楷體"/>
                <w:sz w:val="28"/>
                <w:szCs w:val="28"/>
              </w:rPr>
              <w:t>項第</w:t>
            </w:r>
            <w:r w:rsidRPr="002F3E1D">
              <w:rPr>
                <w:rFonts w:ascii="標楷體" w:eastAsia="標楷體" w:hAnsi="標楷體" w:hint="eastAsia"/>
                <w:sz w:val="28"/>
                <w:szCs w:val="28"/>
              </w:rPr>
              <w:t>一</w:t>
            </w:r>
            <w:r w:rsidRPr="002F3E1D">
              <w:rPr>
                <w:rFonts w:ascii="標楷體" w:eastAsia="標楷體" w:hAnsi="標楷體"/>
                <w:sz w:val="28"/>
                <w:szCs w:val="28"/>
              </w:rPr>
              <w:t>款</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三萬元以上十五萬元以下罰鍰</w:t>
            </w:r>
          </w:p>
        </w:tc>
        <w:tc>
          <w:tcPr>
            <w:tcW w:w="297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一、</w:t>
            </w:r>
            <w:r w:rsidRPr="002F3E1D">
              <w:rPr>
                <w:rFonts w:ascii="標楷體" w:eastAsia="標楷體" w:hAnsi="標楷體" w:hint="eastAsia"/>
                <w:sz w:val="28"/>
                <w:szCs w:val="28"/>
              </w:rPr>
              <w:t>同一案件</w:t>
            </w:r>
            <w:r w:rsidRPr="002F3E1D">
              <w:rPr>
                <w:rFonts w:ascii="標楷體" w:eastAsia="標楷體" w:hAnsi="標楷體"/>
                <w:sz w:val="28"/>
                <w:szCs w:val="28"/>
              </w:rPr>
              <w:t>：</w:t>
            </w:r>
          </w:p>
          <w:p w:rsidR="009D7AB8" w:rsidRPr="002F3E1D" w:rsidRDefault="009D7AB8" w:rsidP="001F4892">
            <w:pPr>
              <w:spacing w:line="420" w:lineRule="exact"/>
              <w:ind w:left="616" w:hangingChars="220" w:hanging="616"/>
              <w:jc w:val="both"/>
              <w:rPr>
                <w:rFonts w:ascii="標楷體" w:eastAsia="標楷體" w:hAnsi="標楷體"/>
                <w:sz w:val="28"/>
                <w:szCs w:val="28"/>
              </w:rPr>
            </w:pPr>
            <w:r w:rsidRPr="002F3E1D">
              <w:rPr>
                <w:rFonts w:ascii="標楷體" w:eastAsia="標楷體" w:hAnsi="標楷體" w:hint="eastAsia"/>
                <w:sz w:val="28"/>
                <w:szCs w:val="28"/>
              </w:rPr>
              <w:t>(</w:t>
            </w:r>
            <w:proofErr w:type="gramStart"/>
            <w:r w:rsidRPr="002F3E1D">
              <w:rPr>
                <w:rFonts w:ascii="標楷體" w:eastAsia="標楷體" w:hAnsi="標楷體" w:hint="eastAsia"/>
                <w:sz w:val="28"/>
                <w:szCs w:val="28"/>
              </w:rPr>
              <w:t>一</w:t>
            </w:r>
            <w:proofErr w:type="gramEnd"/>
            <w:r w:rsidRPr="002F3E1D">
              <w:rPr>
                <w:rFonts w:ascii="標楷體" w:eastAsia="標楷體" w:hAnsi="標楷體" w:hint="eastAsia"/>
                <w:sz w:val="28"/>
                <w:szCs w:val="28"/>
              </w:rPr>
              <w:t>)</w:t>
            </w:r>
            <w:r w:rsidRPr="002F3E1D">
              <w:rPr>
                <w:rFonts w:ascii="標楷體" w:eastAsia="標楷體" w:hAnsi="標楷體"/>
                <w:sz w:val="28"/>
                <w:szCs w:val="28"/>
              </w:rPr>
              <w:t>延誤未滿二十四小時</w:t>
            </w:r>
            <w:r w:rsidRPr="002F3E1D">
              <w:rPr>
                <w:rFonts w:ascii="標楷體" w:eastAsia="標楷體" w:hAnsi="標楷體" w:hint="eastAsia"/>
                <w:sz w:val="28"/>
                <w:szCs w:val="28"/>
              </w:rPr>
              <w:t>：</w:t>
            </w:r>
            <w:r w:rsidRPr="002F3E1D">
              <w:rPr>
                <w:rFonts w:ascii="標楷體" w:eastAsia="標楷體" w:hAnsi="標楷體"/>
                <w:sz w:val="28"/>
                <w:szCs w:val="28"/>
              </w:rPr>
              <w:t>三萬元。</w:t>
            </w:r>
          </w:p>
          <w:p w:rsidR="009D7AB8" w:rsidRPr="002F3E1D" w:rsidRDefault="009D7AB8" w:rsidP="001F4892">
            <w:pPr>
              <w:spacing w:line="420" w:lineRule="exact"/>
              <w:ind w:left="616" w:hangingChars="220" w:hanging="616"/>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二</w:t>
            </w:r>
            <w:r w:rsidRPr="002F3E1D">
              <w:rPr>
                <w:rFonts w:ascii="標楷體" w:eastAsia="標楷體" w:hAnsi="標楷體" w:hint="eastAsia"/>
                <w:sz w:val="28"/>
                <w:szCs w:val="28"/>
              </w:rPr>
              <w:t>)</w:t>
            </w:r>
            <w:r w:rsidRPr="002F3E1D">
              <w:rPr>
                <w:rFonts w:ascii="標楷體" w:eastAsia="標楷體" w:hAnsi="標楷體"/>
                <w:sz w:val="28"/>
                <w:szCs w:val="28"/>
              </w:rPr>
              <w:t>延誤二十四小時以上未滿七十二小時</w:t>
            </w:r>
            <w:r w:rsidRPr="002F3E1D">
              <w:rPr>
                <w:rFonts w:ascii="標楷體" w:eastAsia="標楷體" w:hAnsi="標楷體" w:hint="eastAsia"/>
                <w:sz w:val="28"/>
                <w:szCs w:val="28"/>
              </w:rPr>
              <w:t>：</w:t>
            </w:r>
            <w:r w:rsidRPr="002F3E1D">
              <w:rPr>
                <w:rFonts w:ascii="標楷體" w:eastAsia="標楷體" w:hAnsi="標楷體"/>
                <w:sz w:val="28"/>
                <w:szCs w:val="28"/>
              </w:rPr>
              <w:t>六萬元。</w:t>
            </w:r>
          </w:p>
          <w:p w:rsidR="009D7AB8" w:rsidRPr="002F3E1D" w:rsidRDefault="009D7AB8" w:rsidP="001F4892">
            <w:pPr>
              <w:spacing w:line="420" w:lineRule="exact"/>
              <w:ind w:left="616" w:hangingChars="220" w:hanging="616"/>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三</w:t>
            </w:r>
            <w:r w:rsidRPr="002F3E1D">
              <w:rPr>
                <w:rFonts w:ascii="標楷體" w:eastAsia="標楷體" w:hAnsi="標楷體" w:hint="eastAsia"/>
                <w:sz w:val="28"/>
                <w:szCs w:val="28"/>
              </w:rPr>
              <w:t>)</w:t>
            </w:r>
            <w:r w:rsidRPr="002F3E1D">
              <w:rPr>
                <w:rFonts w:ascii="標楷體" w:eastAsia="標楷體" w:hAnsi="標楷體"/>
                <w:sz w:val="28"/>
                <w:szCs w:val="28"/>
              </w:rPr>
              <w:t>延誤七十二小時以上未滿九十六小時</w:t>
            </w:r>
            <w:r w:rsidRPr="002F3E1D">
              <w:rPr>
                <w:rFonts w:ascii="標楷體" w:eastAsia="標楷體" w:hAnsi="標楷體" w:hint="eastAsia"/>
                <w:sz w:val="28"/>
                <w:szCs w:val="28"/>
              </w:rPr>
              <w:t>：</w:t>
            </w:r>
            <w:r w:rsidRPr="002F3E1D">
              <w:rPr>
                <w:rFonts w:ascii="標楷體" w:eastAsia="標楷體" w:hAnsi="標楷體"/>
                <w:sz w:val="28"/>
                <w:szCs w:val="28"/>
              </w:rPr>
              <w:t>九萬元。</w:t>
            </w:r>
          </w:p>
          <w:p w:rsidR="009D7AB8" w:rsidRPr="002F3E1D" w:rsidRDefault="009D7AB8" w:rsidP="001F4892">
            <w:pPr>
              <w:spacing w:line="420" w:lineRule="exact"/>
              <w:ind w:left="616" w:hangingChars="220" w:hanging="616"/>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四</w:t>
            </w:r>
            <w:r w:rsidRPr="002F3E1D">
              <w:rPr>
                <w:rFonts w:ascii="標楷體" w:eastAsia="標楷體" w:hAnsi="標楷體" w:hint="eastAsia"/>
                <w:sz w:val="28"/>
                <w:szCs w:val="28"/>
              </w:rPr>
              <w:t>)</w:t>
            </w:r>
            <w:r w:rsidRPr="002F3E1D">
              <w:rPr>
                <w:rFonts w:ascii="標楷體" w:eastAsia="標楷體" w:hAnsi="標楷體"/>
                <w:sz w:val="28"/>
                <w:szCs w:val="28"/>
              </w:rPr>
              <w:t>延誤九十六小時以上</w:t>
            </w:r>
            <w:r w:rsidRPr="002F3E1D">
              <w:rPr>
                <w:rFonts w:ascii="標楷體" w:eastAsia="標楷體" w:hAnsi="標楷體" w:hint="eastAsia"/>
                <w:sz w:val="28"/>
                <w:szCs w:val="28"/>
              </w:rPr>
              <w:t>：</w:t>
            </w:r>
            <w:r w:rsidRPr="002F3E1D">
              <w:rPr>
                <w:rFonts w:ascii="標楷體" w:eastAsia="標楷體" w:hAnsi="標楷體"/>
                <w:sz w:val="28"/>
                <w:szCs w:val="28"/>
              </w:rPr>
              <w:t>十二萬元。</w:t>
            </w:r>
          </w:p>
          <w:p w:rsidR="009D7AB8" w:rsidRPr="002F3E1D" w:rsidRDefault="009D7AB8" w:rsidP="001F4892">
            <w:pPr>
              <w:spacing w:line="420" w:lineRule="exact"/>
              <w:ind w:left="616" w:hangingChars="220" w:hanging="616"/>
              <w:jc w:val="both"/>
              <w:rPr>
                <w:rFonts w:ascii="標楷體" w:eastAsia="標楷體" w:hAnsi="標楷體"/>
                <w:sz w:val="28"/>
                <w:szCs w:val="28"/>
              </w:rPr>
            </w:pPr>
            <w:r w:rsidRPr="002F3E1D">
              <w:rPr>
                <w:rFonts w:ascii="標楷體" w:eastAsia="標楷體" w:hAnsi="標楷體" w:hint="eastAsia"/>
                <w:sz w:val="28"/>
                <w:szCs w:val="28"/>
              </w:rPr>
              <w:t>(</w:t>
            </w:r>
            <w:r w:rsidRPr="002F3E1D">
              <w:rPr>
                <w:rFonts w:ascii="標楷體" w:eastAsia="標楷體" w:hAnsi="標楷體"/>
                <w:sz w:val="28"/>
                <w:szCs w:val="28"/>
              </w:rPr>
              <w:t>五</w:t>
            </w:r>
            <w:r w:rsidRPr="002F3E1D">
              <w:rPr>
                <w:rFonts w:ascii="標楷體" w:eastAsia="標楷體" w:hAnsi="標楷體" w:hint="eastAsia"/>
                <w:sz w:val="28"/>
                <w:szCs w:val="28"/>
              </w:rPr>
              <w:t>)</w:t>
            </w:r>
            <w:r w:rsidRPr="002F3E1D">
              <w:rPr>
                <w:rFonts w:ascii="標楷體" w:eastAsia="標楷體" w:hAnsi="標楷體"/>
                <w:sz w:val="28"/>
                <w:szCs w:val="28"/>
              </w:rPr>
              <w:t>延誤九十六小時以上</w:t>
            </w:r>
            <w:r w:rsidRPr="002F3E1D">
              <w:rPr>
                <w:rFonts w:ascii="標楷體" w:eastAsia="標楷體" w:hAnsi="標楷體" w:hint="eastAsia"/>
                <w:sz w:val="28"/>
                <w:szCs w:val="28"/>
              </w:rPr>
              <w:t>且</w:t>
            </w:r>
            <w:r w:rsidRPr="002F3E1D">
              <w:rPr>
                <w:rFonts w:ascii="標楷體" w:eastAsia="標楷體" w:hAnsi="標楷體"/>
                <w:sz w:val="28"/>
                <w:szCs w:val="28"/>
              </w:rPr>
              <w:t>情節重大</w:t>
            </w:r>
            <w:r w:rsidRPr="002F3E1D">
              <w:rPr>
                <w:rFonts w:ascii="標楷體" w:eastAsia="標楷體" w:hAnsi="標楷體" w:hint="eastAsia"/>
                <w:sz w:val="28"/>
                <w:szCs w:val="28"/>
              </w:rPr>
              <w:t>：</w:t>
            </w:r>
            <w:r w:rsidRPr="002F3E1D">
              <w:rPr>
                <w:rFonts w:ascii="標楷體" w:eastAsia="標楷體" w:hAnsi="標楷體"/>
                <w:sz w:val="28"/>
                <w:szCs w:val="28"/>
              </w:rPr>
              <w:t>十五萬元。</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2F3E1D">
              <w:rPr>
                <w:rFonts w:ascii="標楷體" w:eastAsia="標楷體" w:hAnsi="標楷體"/>
                <w:sz w:val="28"/>
                <w:szCs w:val="28"/>
              </w:rPr>
              <w:lastRenderedPageBreak/>
              <w:t>二、</w:t>
            </w:r>
            <w:r w:rsidRPr="002F3E1D">
              <w:rPr>
                <w:rFonts w:ascii="標楷體" w:eastAsia="標楷體" w:hAnsi="標楷體" w:hint="eastAsia"/>
                <w:sz w:val="28"/>
                <w:szCs w:val="28"/>
              </w:rPr>
              <w:t>一年內有二案件</w:t>
            </w:r>
            <w:r w:rsidRPr="002F3E1D">
              <w:rPr>
                <w:rFonts w:ascii="標楷體" w:eastAsia="標楷體" w:hAnsi="標楷體"/>
                <w:sz w:val="28"/>
                <w:szCs w:val="28"/>
              </w:rPr>
              <w:t>以上</w:t>
            </w:r>
            <w:r w:rsidRPr="002F3E1D">
              <w:rPr>
                <w:rFonts w:ascii="標楷體" w:eastAsia="標楷體" w:hAnsi="標楷體" w:hint="eastAsia"/>
                <w:sz w:val="28"/>
                <w:szCs w:val="28"/>
              </w:rPr>
              <w:t>延誤通報二十四小時以上者，自第二案起，每次</w:t>
            </w:r>
            <w:r w:rsidRPr="002F3E1D">
              <w:rPr>
                <w:rFonts w:ascii="標楷體" w:eastAsia="標楷體" w:hAnsi="標楷體"/>
                <w:sz w:val="28"/>
                <w:szCs w:val="28"/>
              </w:rPr>
              <w:t>處十五萬元。</w:t>
            </w:r>
          </w:p>
        </w:tc>
      </w:tr>
      <w:tr w:rsidR="009D7AB8" w:rsidRPr="002F3E1D" w:rsidTr="001F4892">
        <w:trPr>
          <w:trHeight w:val="77"/>
          <w:jc w:val="center"/>
        </w:trPr>
        <w:tc>
          <w:tcPr>
            <w:tcW w:w="520"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hint="eastAsia"/>
                <w:sz w:val="28"/>
                <w:szCs w:val="28"/>
              </w:rPr>
              <w:lastRenderedPageBreak/>
              <w:t>十</w:t>
            </w:r>
          </w:p>
        </w:tc>
        <w:tc>
          <w:tcPr>
            <w:tcW w:w="141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二十一</w:t>
            </w:r>
            <w:r w:rsidRPr="002F3E1D">
              <w:rPr>
                <w:rFonts w:ascii="標楷體" w:eastAsia="標楷體" w:hAnsi="標楷體"/>
                <w:sz w:val="28"/>
                <w:szCs w:val="28"/>
              </w:rPr>
              <w:t>條第</w:t>
            </w:r>
            <w:r w:rsidRPr="002F3E1D">
              <w:rPr>
                <w:rFonts w:ascii="標楷體" w:eastAsia="標楷體" w:hAnsi="標楷體" w:hint="eastAsia"/>
                <w:sz w:val="28"/>
                <w:szCs w:val="28"/>
              </w:rPr>
              <w:t>二</w:t>
            </w:r>
            <w:r w:rsidRPr="002F3E1D">
              <w:rPr>
                <w:rFonts w:ascii="標楷體" w:eastAsia="標楷體" w:hAnsi="標楷體"/>
                <w:sz w:val="28"/>
                <w:szCs w:val="28"/>
              </w:rPr>
              <w:t>項</w:t>
            </w:r>
          </w:p>
        </w:tc>
        <w:tc>
          <w:tcPr>
            <w:tcW w:w="2127"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學校校長、教師、職員或工友偽造、變造、湮滅或隱匿他人所犯校園性騷擾或</w:t>
            </w:r>
            <w:proofErr w:type="gramStart"/>
            <w:r w:rsidRPr="002F3E1D">
              <w:rPr>
                <w:rFonts w:ascii="標楷體" w:eastAsia="標楷體" w:hAnsi="標楷體"/>
                <w:sz w:val="28"/>
                <w:szCs w:val="28"/>
              </w:rPr>
              <w:t>性霸凌</w:t>
            </w:r>
            <w:proofErr w:type="gramEnd"/>
            <w:r w:rsidRPr="002F3E1D">
              <w:rPr>
                <w:rFonts w:ascii="標楷體" w:eastAsia="標楷體" w:hAnsi="標楷體"/>
                <w:sz w:val="28"/>
                <w:szCs w:val="28"/>
              </w:rPr>
              <w:t>事件之證據。</w:t>
            </w:r>
          </w:p>
        </w:tc>
        <w:tc>
          <w:tcPr>
            <w:tcW w:w="1558"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第</w:t>
            </w:r>
            <w:r w:rsidRPr="002F3E1D">
              <w:rPr>
                <w:rFonts w:ascii="標楷體" w:eastAsia="標楷體" w:hAnsi="標楷體" w:hint="eastAsia"/>
                <w:sz w:val="28"/>
                <w:szCs w:val="28"/>
              </w:rPr>
              <w:t>三十六</w:t>
            </w:r>
            <w:r w:rsidRPr="002F3E1D">
              <w:rPr>
                <w:rFonts w:ascii="標楷體" w:eastAsia="標楷體" w:hAnsi="標楷體"/>
                <w:sz w:val="28"/>
                <w:szCs w:val="28"/>
              </w:rPr>
              <w:t>條第</w:t>
            </w:r>
            <w:r w:rsidRPr="002F3E1D">
              <w:rPr>
                <w:rFonts w:ascii="標楷體" w:eastAsia="標楷體" w:hAnsi="標楷體" w:hint="eastAsia"/>
                <w:sz w:val="28"/>
                <w:szCs w:val="28"/>
              </w:rPr>
              <w:t>三</w:t>
            </w:r>
            <w:r w:rsidRPr="002F3E1D">
              <w:rPr>
                <w:rFonts w:ascii="標楷體" w:eastAsia="標楷體" w:hAnsi="標楷體"/>
                <w:sz w:val="28"/>
                <w:szCs w:val="28"/>
              </w:rPr>
              <w:t>項第</w:t>
            </w:r>
            <w:r w:rsidRPr="002F3E1D">
              <w:rPr>
                <w:rFonts w:ascii="標楷體" w:eastAsia="標楷體" w:hAnsi="標楷體" w:hint="eastAsia"/>
                <w:sz w:val="28"/>
                <w:szCs w:val="28"/>
              </w:rPr>
              <w:t>二</w:t>
            </w:r>
            <w:r w:rsidRPr="002F3E1D">
              <w:rPr>
                <w:rFonts w:ascii="標楷體" w:eastAsia="標楷體" w:hAnsi="標楷體"/>
                <w:sz w:val="28"/>
                <w:szCs w:val="28"/>
              </w:rPr>
              <w:t>款</w:t>
            </w:r>
          </w:p>
        </w:tc>
        <w:tc>
          <w:tcPr>
            <w:tcW w:w="1561" w:type="dxa"/>
          </w:tcPr>
          <w:p w:rsidR="009D7AB8" w:rsidRPr="002F3E1D" w:rsidRDefault="009D7AB8" w:rsidP="001F4892">
            <w:pPr>
              <w:spacing w:line="420" w:lineRule="exact"/>
              <w:jc w:val="both"/>
              <w:rPr>
                <w:rFonts w:ascii="標楷體" w:eastAsia="標楷體" w:hAnsi="標楷體"/>
                <w:sz w:val="28"/>
                <w:szCs w:val="28"/>
              </w:rPr>
            </w:pPr>
            <w:r w:rsidRPr="002F3E1D">
              <w:rPr>
                <w:rFonts w:ascii="標楷體" w:eastAsia="標楷體" w:hAnsi="標楷體"/>
                <w:sz w:val="28"/>
                <w:szCs w:val="28"/>
              </w:rPr>
              <w:t>三萬元以上十五萬元以下罰鍰</w:t>
            </w:r>
          </w:p>
        </w:tc>
        <w:tc>
          <w:tcPr>
            <w:tcW w:w="2977" w:type="dxa"/>
          </w:tcPr>
          <w:p w:rsidR="009D7AB8" w:rsidRPr="0062753E" w:rsidRDefault="009D7AB8" w:rsidP="001F4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both"/>
              <w:rPr>
                <w:rFonts w:ascii="標楷體" w:eastAsia="標楷體" w:hAnsi="標楷體" w:hint="eastAsia"/>
                <w:kern w:val="0"/>
                <w:sz w:val="28"/>
                <w:szCs w:val="28"/>
              </w:rPr>
            </w:pPr>
            <w:r w:rsidRPr="0062753E">
              <w:rPr>
                <w:rFonts w:ascii="標楷體" w:eastAsia="標楷體" w:hAnsi="標楷體"/>
                <w:kern w:val="0"/>
                <w:sz w:val="28"/>
                <w:szCs w:val="28"/>
              </w:rPr>
              <w:t>依</w:t>
            </w:r>
            <w:r w:rsidRPr="0062753E">
              <w:rPr>
                <w:rFonts w:ascii="標楷體" w:eastAsia="標楷體" w:hAnsi="標楷體" w:hint="eastAsia"/>
                <w:kern w:val="0"/>
                <w:sz w:val="28"/>
                <w:szCs w:val="28"/>
              </w:rPr>
              <w:t>下列情形，具體審酌其裁罰額度：</w:t>
            </w:r>
          </w:p>
          <w:p w:rsidR="009D7AB8" w:rsidRPr="0062753E" w:rsidRDefault="009D7AB8" w:rsidP="001F4892">
            <w:pPr>
              <w:autoSpaceDE w:val="0"/>
              <w:autoSpaceDN w:val="0"/>
              <w:adjustRightInd w:val="0"/>
              <w:spacing w:line="420" w:lineRule="exact"/>
              <w:ind w:left="591" w:hangingChars="211" w:hanging="591"/>
              <w:jc w:val="both"/>
              <w:rPr>
                <w:rFonts w:ascii="標楷體" w:eastAsia="標楷體" w:hAnsi="標楷體" w:hint="eastAsia"/>
                <w:kern w:val="0"/>
                <w:sz w:val="28"/>
                <w:szCs w:val="28"/>
              </w:rPr>
            </w:pPr>
            <w:r w:rsidRPr="0062753E">
              <w:rPr>
                <w:rFonts w:ascii="標楷體" w:eastAsia="標楷體" w:hAnsi="標楷體" w:hint="eastAsia"/>
                <w:kern w:val="0"/>
                <w:sz w:val="28"/>
                <w:szCs w:val="28"/>
              </w:rPr>
              <w:t>一、</w:t>
            </w:r>
            <w:r w:rsidRPr="0062753E">
              <w:rPr>
                <w:rFonts w:ascii="標楷體" w:eastAsia="標楷體" w:hAnsi="標楷體"/>
                <w:kern w:val="0"/>
                <w:sz w:val="28"/>
                <w:szCs w:val="28"/>
              </w:rPr>
              <w:t>校園性騷擾或</w:t>
            </w:r>
            <w:proofErr w:type="gramStart"/>
            <w:r w:rsidRPr="0062753E">
              <w:rPr>
                <w:rFonts w:ascii="標楷體" w:eastAsia="標楷體" w:hAnsi="標楷體"/>
                <w:kern w:val="0"/>
                <w:sz w:val="28"/>
                <w:szCs w:val="28"/>
              </w:rPr>
              <w:t>性霸凌</w:t>
            </w:r>
            <w:proofErr w:type="gramEnd"/>
            <w:r w:rsidRPr="0062753E">
              <w:rPr>
                <w:rFonts w:ascii="標楷體" w:eastAsia="標楷體" w:hAnsi="標楷體"/>
                <w:kern w:val="0"/>
                <w:sz w:val="28"/>
                <w:szCs w:val="28"/>
              </w:rPr>
              <w:t>事件</w:t>
            </w:r>
            <w:r w:rsidRPr="0062753E">
              <w:rPr>
                <w:rFonts w:ascii="標楷體" w:eastAsia="標楷體" w:hAnsi="標楷體" w:hint="eastAsia"/>
                <w:kern w:val="0"/>
                <w:sz w:val="28"/>
                <w:szCs w:val="28"/>
              </w:rPr>
              <w:t>行為人</w:t>
            </w:r>
            <w:r w:rsidRPr="0062753E">
              <w:rPr>
                <w:rFonts w:ascii="標楷體" w:eastAsia="標楷體" w:hAnsi="標楷體"/>
                <w:kern w:val="0"/>
                <w:sz w:val="28"/>
                <w:szCs w:val="28"/>
              </w:rPr>
              <w:t>之</w:t>
            </w:r>
            <w:r w:rsidRPr="0062753E">
              <w:rPr>
                <w:rFonts w:ascii="標楷體" w:eastAsia="標楷體" w:hAnsi="標楷體" w:hint="eastAsia"/>
                <w:kern w:val="0"/>
                <w:sz w:val="28"/>
                <w:szCs w:val="28"/>
              </w:rPr>
              <w:t>身分係</w:t>
            </w:r>
            <w:r w:rsidRPr="0062753E">
              <w:rPr>
                <w:rFonts w:ascii="標楷體" w:eastAsia="標楷體" w:hAnsi="標楷體"/>
                <w:kern w:val="0"/>
                <w:sz w:val="28"/>
                <w:szCs w:val="28"/>
              </w:rPr>
              <w:t>校長、教師、職員</w:t>
            </w:r>
            <w:r w:rsidRPr="0062753E">
              <w:rPr>
                <w:rFonts w:ascii="標楷體" w:eastAsia="標楷體" w:hAnsi="標楷體" w:hint="eastAsia"/>
                <w:kern w:val="0"/>
                <w:sz w:val="28"/>
                <w:szCs w:val="28"/>
              </w:rPr>
              <w:t>、</w:t>
            </w:r>
            <w:r w:rsidRPr="0062753E">
              <w:rPr>
                <w:rFonts w:ascii="標楷體" w:eastAsia="標楷體" w:hAnsi="標楷體"/>
                <w:kern w:val="0"/>
                <w:sz w:val="28"/>
                <w:szCs w:val="28"/>
              </w:rPr>
              <w:t>工友</w:t>
            </w:r>
            <w:r w:rsidRPr="0062753E">
              <w:rPr>
                <w:rFonts w:ascii="標楷體" w:eastAsia="標楷體" w:hAnsi="標楷體" w:hint="eastAsia"/>
                <w:kern w:val="0"/>
                <w:sz w:val="28"/>
                <w:szCs w:val="28"/>
              </w:rPr>
              <w:t>，抑或學生。</w:t>
            </w:r>
          </w:p>
          <w:p w:rsidR="009D7AB8" w:rsidRPr="0062753E" w:rsidRDefault="009D7AB8" w:rsidP="001F4892">
            <w:pPr>
              <w:autoSpaceDE w:val="0"/>
              <w:autoSpaceDN w:val="0"/>
              <w:adjustRightInd w:val="0"/>
              <w:spacing w:line="420" w:lineRule="exact"/>
              <w:ind w:left="591" w:hangingChars="211" w:hanging="591"/>
              <w:jc w:val="both"/>
              <w:rPr>
                <w:rFonts w:ascii="標楷體" w:eastAsia="標楷體" w:hAnsi="標楷體" w:hint="eastAsia"/>
                <w:kern w:val="0"/>
                <w:sz w:val="28"/>
                <w:szCs w:val="28"/>
              </w:rPr>
            </w:pPr>
            <w:r w:rsidRPr="0062753E">
              <w:rPr>
                <w:rFonts w:ascii="標楷體" w:eastAsia="標楷體" w:hAnsi="標楷體" w:hint="eastAsia"/>
                <w:kern w:val="0"/>
                <w:sz w:val="28"/>
                <w:szCs w:val="28"/>
              </w:rPr>
              <w:t>二、</w:t>
            </w:r>
            <w:r w:rsidRPr="0062753E">
              <w:rPr>
                <w:rFonts w:ascii="標楷體" w:eastAsia="標楷體" w:hAnsi="標楷體"/>
                <w:kern w:val="0"/>
                <w:sz w:val="28"/>
                <w:szCs w:val="28"/>
              </w:rPr>
              <w:t>違反第二十一條第</w:t>
            </w:r>
            <w:r w:rsidRPr="0062753E">
              <w:rPr>
                <w:rFonts w:ascii="標楷體" w:eastAsia="標楷體" w:hAnsi="標楷體" w:hint="eastAsia"/>
                <w:kern w:val="0"/>
                <w:sz w:val="28"/>
                <w:szCs w:val="28"/>
              </w:rPr>
              <w:t>二</w:t>
            </w:r>
            <w:r w:rsidRPr="0062753E">
              <w:rPr>
                <w:rFonts w:ascii="標楷體" w:eastAsia="標楷體" w:hAnsi="標楷體"/>
                <w:kern w:val="0"/>
                <w:sz w:val="28"/>
                <w:szCs w:val="28"/>
              </w:rPr>
              <w:t>項</w:t>
            </w:r>
            <w:r w:rsidRPr="0062753E">
              <w:rPr>
                <w:rFonts w:ascii="標楷體" w:eastAsia="標楷體" w:hAnsi="標楷體" w:hint="eastAsia"/>
                <w:kern w:val="0"/>
                <w:sz w:val="28"/>
                <w:szCs w:val="28"/>
              </w:rPr>
              <w:t>規定，對被害人所生之影響。</w:t>
            </w:r>
          </w:p>
          <w:p w:rsidR="009D7AB8" w:rsidRPr="002F3E1D" w:rsidRDefault="009D7AB8" w:rsidP="001F4892">
            <w:pPr>
              <w:spacing w:line="420" w:lineRule="exact"/>
              <w:ind w:left="532" w:hangingChars="190" w:hanging="532"/>
              <w:jc w:val="both"/>
              <w:rPr>
                <w:rFonts w:ascii="標楷體" w:eastAsia="標楷體" w:hAnsi="標楷體"/>
                <w:sz w:val="28"/>
                <w:szCs w:val="28"/>
              </w:rPr>
            </w:pPr>
            <w:r w:rsidRPr="0062753E">
              <w:rPr>
                <w:rFonts w:ascii="標楷體" w:eastAsia="標楷體" w:hAnsi="標楷體" w:hint="eastAsia"/>
                <w:kern w:val="0"/>
                <w:sz w:val="28"/>
                <w:szCs w:val="28"/>
              </w:rPr>
              <w:t>三、違反</w:t>
            </w:r>
            <w:r w:rsidRPr="0062753E">
              <w:rPr>
                <w:rFonts w:ascii="標楷體" w:eastAsia="標楷體" w:hAnsi="標楷體"/>
                <w:kern w:val="0"/>
                <w:sz w:val="28"/>
                <w:szCs w:val="28"/>
              </w:rPr>
              <w:t>第二十一條第</w:t>
            </w:r>
            <w:r w:rsidRPr="0062753E">
              <w:rPr>
                <w:rFonts w:ascii="標楷體" w:eastAsia="標楷體" w:hAnsi="標楷體" w:hint="eastAsia"/>
                <w:kern w:val="0"/>
                <w:sz w:val="28"/>
                <w:szCs w:val="28"/>
              </w:rPr>
              <w:t>二</w:t>
            </w:r>
            <w:r w:rsidRPr="0062753E">
              <w:rPr>
                <w:rFonts w:ascii="標楷體" w:eastAsia="標楷體" w:hAnsi="標楷體"/>
                <w:kern w:val="0"/>
                <w:sz w:val="28"/>
                <w:szCs w:val="28"/>
              </w:rPr>
              <w:t>項</w:t>
            </w:r>
            <w:r w:rsidRPr="0062753E">
              <w:rPr>
                <w:rFonts w:ascii="標楷體" w:eastAsia="標楷體" w:hAnsi="標楷體" w:hint="eastAsia"/>
                <w:kern w:val="0"/>
                <w:sz w:val="28"/>
                <w:szCs w:val="28"/>
              </w:rPr>
              <w:t>規定之次數。</w:t>
            </w:r>
          </w:p>
        </w:tc>
      </w:tr>
    </w:tbl>
    <w:p w:rsidR="009D7AB8" w:rsidRPr="00C52D45" w:rsidRDefault="009D7AB8" w:rsidP="009D7AB8">
      <w:pPr>
        <w:spacing w:line="420" w:lineRule="exact"/>
        <w:ind w:left="848" w:right="-1" w:hangingChars="303" w:hanging="848"/>
        <w:rPr>
          <w:rFonts w:ascii="標楷體" w:eastAsia="標楷體" w:hAnsi="標楷體"/>
          <w:sz w:val="28"/>
          <w:szCs w:val="28"/>
        </w:rPr>
      </w:pPr>
      <w:r>
        <w:rPr>
          <w:rFonts w:ascii="標楷體" w:eastAsia="標楷體" w:hAnsi="標楷體" w:hint="eastAsia"/>
          <w:sz w:val="28"/>
          <w:szCs w:val="28"/>
        </w:rPr>
        <w:t>備註：本基準關於次數之計算，除項次八外，</w:t>
      </w:r>
      <w:proofErr w:type="gramStart"/>
      <w:r>
        <w:rPr>
          <w:rFonts w:ascii="標楷體" w:eastAsia="標楷體" w:hAnsi="標楷體" w:hint="eastAsia"/>
          <w:sz w:val="28"/>
          <w:szCs w:val="28"/>
        </w:rPr>
        <w:t>指裁罰</w:t>
      </w:r>
      <w:proofErr w:type="gramEnd"/>
      <w:r>
        <w:rPr>
          <w:rFonts w:ascii="標楷體" w:eastAsia="標楷體" w:hAnsi="標楷體" w:hint="eastAsia"/>
          <w:sz w:val="28"/>
          <w:szCs w:val="28"/>
        </w:rPr>
        <w:t>對象</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年內不同案件之違法次數及同一案件經通知改善而屆期未改善之違法次數。</w:t>
      </w:r>
    </w:p>
    <w:p w:rsidR="009D7AB8" w:rsidRPr="009D7AB8" w:rsidRDefault="009D7AB8" w:rsidP="00A90986">
      <w:pPr>
        <w:spacing w:line="420" w:lineRule="exact"/>
      </w:pPr>
    </w:p>
    <w:sectPr w:rsidR="009D7AB8" w:rsidRPr="009D7AB8" w:rsidSect="00E45A86">
      <w:pgSz w:w="11906" w:h="16838"/>
      <w:pgMar w:top="567"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81" w:rsidRDefault="00E15481" w:rsidP="00275A5B">
      <w:r>
        <w:separator/>
      </w:r>
    </w:p>
  </w:endnote>
  <w:endnote w:type="continuationSeparator" w:id="0">
    <w:p w:rsidR="00E15481" w:rsidRDefault="00E15481" w:rsidP="00275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81" w:rsidRDefault="00E15481" w:rsidP="00275A5B">
      <w:r>
        <w:separator/>
      </w:r>
    </w:p>
  </w:footnote>
  <w:footnote w:type="continuationSeparator" w:id="0">
    <w:p w:rsidR="00E15481" w:rsidRDefault="00E15481" w:rsidP="00275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13A"/>
    <w:rsid w:val="000014C2"/>
    <w:rsid w:val="000C57CE"/>
    <w:rsid w:val="001B1B6D"/>
    <w:rsid w:val="001C5C1F"/>
    <w:rsid w:val="001F4892"/>
    <w:rsid w:val="00275A5B"/>
    <w:rsid w:val="002C41D2"/>
    <w:rsid w:val="00322BF3"/>
    <w:rsid w:val="00334196"/>
    <w:rsid w:val="00346588"/>
    <w:rsid w:val="003A263C"/>
    <w:rsid w:val="003A3D48"/>
    <w:rsid w:val="003A523E"/>
    <w:rsid w:val="00426D30"/>
    <w:rsid w:val="00450293"/>
    <w:rsid w:val="004E7A09"/>
    <w:rsid w:val="005414FD"/>
    <w:rsid w:val="00580F85"/>
    <w:rsid w:val="007557CD"/>
    <w:rsid w:val="007754BC"/>
    <w:rsid w:val="00781EA0"/>
    <w:rsid w:val="008C33C6"/>
    <w:rsid w:val="009811AB"/>
    <w:rsid w:val="009D7AB8"/>
    <w:rsid w:val="00A03008"/>
    <w:rsid w:val="00A14AE1"/>
    <w:rsid w:val="00A90986"/>
    <w:rsid w:val="00AB6668"/>
    <w:rsid w:val="00AC013A"/>
    <w:rsid w:val="00B24857"/>
    <w:rsid w:val="00B935C4"/>
    <w:rsid w:val="00C25DF8"/>
    <w:rsid w:val="00C36AA1"/>
    <w:rsid w:val="00C41B24"/>
    <w:rsid w:val="00CA7045"/>
    <w:rsid w:val="00CA7FB0"/>
    <w:rsid w:val="00CB7982"/>
    <w:rsid w:val="00CE6CEE"/>
    <w:rsid w:val="00D575C9"/>
    <w:rsid w:val="00D65D32"/>
    <w:rsid w:val="00D777BF"/>
    <w:rsid w:val="00E15481"/>
    <w:rsid w:val="00E45A86"/>
    <w:rsid w:val="00E57EC4"/>
    <w:rsid w:val="00EE3278"/>
    <w:rsid w:val="00FF5B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3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A5B"/>
    <w:rPr>
      <w:rFonts w:ascii="Cambria" w:hAnsi="Cambria"/>
      <w:kern w:val="0"/>
      <w:sz w:val="18"/>
      <w:szCs w:val="18"/>
      <w:lang/>
    </w:rPr>
  </w:style>
  <w:style w:type="character" w:customStyle="1" w:styleId="a4">
    <w:name w:val="註解方塊文字 字元"/>
    <w:link w:val="a3"/>
    <w:uiPriority w:val="99"/>
    <w:semiHidden/>
    <w:rsid w:val="00275A5B"/>
    <w:rPr>
      <w:rFonts w:ascii="Cambria" w:eastAsia="新細明體" w:hAnsi="Cambria" w:cs="Times New Roman"/>
      <w:sz w:val="18"/>
      <w:szCs w:val="18"/>
    </w:rPr>
  </w:style>
  <w:style w:type="paragraph" w:styleId="a5">
    <w:name w:val="header"/>
    <w:basedOn w:val="a"/>
    <w:link w:val="a6"/>
    <w:uiPriority w:val="99"/>
    <w:unhideWhenUsed/>
    <w:rsid w:val="00275A5B"/>
    <w:pPr>
      <w:tabs>
        <w:tab w:val="center" w:pos="4153"/>
        <w:tab w:val="right" w:pos="8306"/>
      </w:tabs>
      <w:snapToGrid w:val="0"/>
    </w:pPr>
    <w:rPr>
      <w:kern w:val="0"/>
      <w:sz w:val="20"/>
      <w:szCs w:val="20"/>
      <w:lang/>
    </w:rPr>
  </w:style>
  <w:style w:type="character" w:customStyle="1" w:styleId="a6">
    <w:name w:val="頁首 字元"/>
    <w:link w:val="a5"/>
    <w:uiPriority w:val="99"/>
    <w:rsid w:val="00275A5B"/>
    <w:rPr>
      <w:rFonts w:ascii="Times New Roman" w:eastAsia="新細明體" w:hAnsi="Times New Roman" w:cs="Times New Roman"/>
      <w:sz w:val="20"/>
      <w:szCs w:val="20"/>
    </w:rPr>
  </w:style>
  <w:style w:type="paragraph" w:styleId="a7">
    <w:name w:val="footer"/>
    <w:basedOn w:val="a"/>
    <w:link w:val="a8"/>
    <w:uiPriority w:val="99"/>
    <w:unhideWhenUsed/>
    <w:rsid w:val="00275A5B"/>
    <w:pPr>
      <w:tabs>
        <w:tab w:val="center" w:pos="4153"/>
        <w:tab w:val="right" w:pos="8306"/>
      </w:tabs>
      <w:snapToGrid w:val="0"/>
    </w:pPr>
    <w:rPr>
      <w:kern w:val="0"/>
      <w:sz w:val="20"/>
      <w:szCs w:val="20"/>
      <w:lang/>
    </w:rPr>
  </w:style>
  <w:style w:type="character" w:customStyle="1" w:styleId="a8">
    <w:name w:val="頁尾 字元"/>
    <w:link w:val="a7"/>
    <w:uiPriority w:val="99"/>
    <w:rsid w:val="00275A5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04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yinstar２</dc:creator>
  <cp:lastModifiedBy>Owner</cp:lastModifiedBy>
  <cp:revision>2</cp:revision>
  <cp:lastPrinted>2013-10-29T02:52:00Z</cp:lastPrinted>
  <dcterms:created xsi:type="dcterms:W3CDTF">2014-08-28T02:04:00Z</dcterms:created>
  <dcterms:modified xsi:type="dcterms:W3CDTF">2014-08-28T02:04:00Z</dcterms:modified>
</cp:coreProperties>
</file>