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D6" w:rsidRDefault="00935EC4">
      <w:pPr>
        <w:pStyle w:val="Textbody"/>
        <w:spacing w:line="0" w:lineRule="atLeast"/>
        <w:jc w:val="center"/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年度「勞動法令紮根校園師資培育」時間配置表</w:t>
      </w:r>
      <w:bookmarkEnd w:id="0"/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40"/>
      </w:tblGrid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8:30~9:00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9:00~09:30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教案設計項目說明</w:t>
            </w:r>
          </w:p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9:30~10:30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教案各項內容撰寫重點及注意事項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I</w:t>
            </w:r>
          </w:p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10:30~10:45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10:45~12:00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教案各項內容撰寫重點及注意事項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II</w:t>
            </w:r>
          </w:p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12:00~13:00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午休時間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13:00-14:00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個人教案設計</w:t>
            </w:r>
          </w:p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14:00-14:15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14:15-16:00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教案成果發表</w:t>
            </w:r>
          </w:p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16:00-16:10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16:10-17:00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4642D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17:00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2D6" w:rsidRDefault="00935EC4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4642D6" w:rsidRDefault="004642D6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4642D6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642D6" w:rsidRDefault="00935EC4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p w:rsidR="004642D6" w:rsidRDefault="00935EC4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辦理地點：臺灣菸酒股份有限公司善化啤酒廠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樓簡報室（本市善化區成功路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4642D6" w:rsidRDefault="00935EC4">
      <w:pPr>
        <w:pStyle w:val="Textbody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sectPr w:rsidR="004642D6">
      <w:pgSz w:w="11907" w:h="16840"/>
      <w:pgMar w:top="851" w:right="567" w:bottom="851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C4" w:rsidRDefault="00935EC4">
      <w:r>
        <w:separator/>
      </w:r>
    </w:p>
  </w:endnote>
  <w:endnote w:type="continuationSeparator" w:id="0">
    <w:p w:rsidR="00935EC4" w:rsidRDefault="0093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C4" w:rsidRDefault="00935EC4">
      <w:r>
        <w:rPr>
          <w:color w:val="000000"/>
        </w:rPr>
        <w:separator/>
      </w:r>
    </w:p>
  </w:footnote>
  <w:footnote w:type="continuationSeparator" w:id="0">
    <w:p w:rsidR="00935EC4" w:rsidRDefault="0093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42D6"/>
    <w:rsid w:val="004642D6"/>
    <w:rsid w:val="00935EC4"/>
    <w:rsid w:val="00A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C9353-DD97-4678-A7E0-F9BE4F1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 w:cs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A6O7W3P8/395040000E0000000_0365831A00_ATTCH8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subject/>
  <dc:creator>台南市政府</dc:creator>
  <dc:description/>
  <cp:lastModifiedBy>5A88</cp:lastModifiedBy>
  <cp:revision>2</cp:revision>
  <cp:lastPrinted>2018-04-17T09:02:00Z</cp:lastPrinted>
  <dcterms:created xsi:type="dcterms:W3CDTF">2023-03-20T08:25:00Z</dcterms:created>
  <dcterms:modified xsi:type="dcterms:W3CDTF">2023-03-20T08:25:00Z</dcterms:modified>
</cp:coreProperties>
</file>