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51C" w:rsidRDefault="007F6DC8">
      <w:pPr>
        <w:spacing w:line="440" w:lineRule="exact"/>
        <w:jc w:val="center"/>
        <w:rPr>
          <w:b/>
          <w:color w:val="000000"/>
          <w:sz w:val="28"/>
          <w:szCs w:val="28"/>
        </w:rPr>
      </w:pPr>
      <w:bookmarkStart w:id="0" w:name="_Hlk99375588"/>
      <w:bookmarkStart w:id="1" w:name="_GoBack"/>
      <w:bookmarkEnd w:id="1"/>
      <w:proofErr w:type="gramStart"/>
      <w:r>
        <w:rPr>
          <w:b/>
          <w:color w:val="000000"/>
          <w:sz w:val="28"/>
          <w:szCs w:val="28"/>
        </w:rPr>
        <w:t>臺</w:t>
      </w:r>
      <w:proofErr w:type="gramEnd"/>
      <w:r>
        <w:rPr>
          <w:b/>
          <w:color w:val="000000"/>
          <w:sz w:val="28"/>
          <w:szCs w:val="28"/>
        </w:rPr>
        <w:t>南市</w:t>
      </w:r>
      <w:r>
        <w:rPr>
          <w:b/>
          <w:color w:val="000000"/>
          <w:sz w:val="28"/>
          <w:szCs w:val="28"/>
        </w:rPr>
        <w:t>112</w:t>
      </w:r>
      <w:r>
        <w:rPr>
          <w:b/>
          <w:color w:val="000000"/>
          <w:sz w:val="28"/>
          <w:szCs w:val="28"/>
        </w:rPr>
        <w:t>年中小學教師永續發展</w:t>
      </w:r>
      <w:r>
        <w:rPr>
          <w:b/>
          <w:color w:val="000000"/>
          <w:sz w:val="28"/>
          <w:szCs w:val="28"/>
        </w:rPr>
        <w:t>SDGs</w:t>
      </w:r>
      <w:r>
        <w:rPr>
          <w:b/>
          <w:color w:val="000000"/>
          <w:sz w:val="28"/>
          <w:szCs w:val="28"/>
        </w:rPr>
        <w:t>探究</w:t>
      </w:r>
      <w:proofErr w:type="gramStart"/>
      <w:r>
        <w:rPr>
          <w:b/>
          <w:color w:val="000000"/>
          <w:sz w:val="28"/>
          <w:szCs w:val="28"/>
        </w:rPr>
        <w:t>式桌遊</w:t>
      </w:r>
      <w:proofErr w:type="gramEnd"/>
      <w:r>
        <w:rPr>
          <w:b/>
          <w:color w:val="000000"/>
          <w:sz w:val="28"/>
          <w:szCs w:val="28"/>
        </w:rPr>
        <w:t>設計工作坊計畫</w:t>
      </w:r>
    </w:p>
    <w:bookmarkEnd w:id="0"/>
    <w:p w:rsidR="009D051C" w:rsidRDefault="007F6DC8">
      <w:pPr>
        <w:widowControl/>
        <w:numPr>
          <w:ilvl w:val="0"/>
          <w:numId w:val="1"/>
        </w:numPr>
        <w:spacing w:line="440" w:lineRule="exact"/>
        <w:ind w:left="567" w:hanging="621"/>
        <w:jc w:val="both"/>
      </w:pPr>
      <w:r>
        <w:rPr>
          <w:rFonts w:cs="Calibri"/>
          <w:color w:val="000000"/>
        </w:rPr>
        <w:t>依據：</w:t>
      </w:r>
      <w:proofErr w:type="gramStart"/>
      <w:r>
        <w:rPr>
          <w:rFonts w:cs="Calibri"/>
        </w:rPr>
        <w:t>臺</w:t>
      </w:r>
      <w:proofErr w:type="gramEnd"/>
      <w:r>
        <w:rPr>
          <w:rFonts w:cs="Calibri"/>
        </w:rPr>
        <w:t>南市</w:t>
      </w:r>
      <w:r>
        <w:rPr>
          <w:rFonts w:cs="Calibri"/>
        </w:rPr>
        <w:t>112</w:t>
      </w:r>
      <w:proofErr w:type="gramStart"/>
      <w:r>
        <w:rPr>
          <w:rFonts w:cs="Calibri"/>
        </w:rPr>
        <w:t>學年度精</w:t>
      </w:r>
      <w:proofErr w:type="gramEnd"/>
      <w:r>
        <w:rPr>
          <w:rFonts w:cs="Calibri"/>
        </w:rPr>
        <w:t>進國民中小學教師教學專業與課程品質整體推動計畫。</w:t>
      </w:r>
    </w:p>
    <w:p w:rsidR="009D051C" w:rsidRDefault="007F6DC8">
      <w:pPr>
        <w:widowControl/>
        <w:numPr>
          <w:ilvl w:val="0"/>
          <w:numId w:val="1"/>
        </w:numPr>
        <w:spacing w:line="440" w:lineRule="exact"/>
        <w:ind w:left="567" w:hanging="621"/>
        <w:jc w:val="both"/>
        <w:rPr>
          <w:rFonts w:cs="Calibri"/>
          <w:color w:val="000000"/>
        </w:rPr>
      </w:pPr>
      <w:r>
        <w:rPr>
          <w:rFonts w:cs="Calibri"/>
          <w:color w:val="000000"/>
        </w:rPr>
        <w:t>目標：</w:t>
      </w:r>
    </w:p>
    <w:p w:rsidR="009D051C" w:rsidRDefault="007F6DC8">
      <w:pPr>
        <w:pStyle w:val="a3"/>
        <w:widowControl/>
        <w:numPr>
          <w:ilvl w:val="0"/>
          <w:numId w:val="2"/>
        </w:numPr>
        <w:spacing w:line="440" w:lineRule="exact"/>
        <w:jc w:val="both"/>
        <w:rPr>
          <w:rFonts w:cs="Calibri"/>
          <w:color w:val="000000"/>
        </w:rPr>
      </w:pPr>
      <w:r>
        <w:rPr>
          <w:rFonts w:cs="Calibri"/>
          <w:color w:val="000000"/>
        </w:rPr>
        <w:t>建立環境永續發展思維，促進自然資源的永續管理和利用意識與行動。</w:t>
      </w:r>
    </w:p>
    <w:p w:rsidR="009D051C" w:rsidRDefault="007F6DC8">
      <w:pPr>
        <w:pStyle w:val="a3"/>
        <w:widowControl/>
        <w:numPr>
          <w:ilvl w:val="0"/>
          <w:numId w:val="2"/>
        </w:numPr>
        <w:spacing w:line="440" w:lineRule="exact"/>
        <w:jc w:val="both"/>
        <w:rPr>
          <w:rFonts w:cs="Calibri"/>
          <w:color w:val="000000"/>
        </w:rPr>
      </w:pPr>
      <w:r>
        <w:rPr>
          <w:rFonts w:cs="Calibri"/>
          <w:color w:val="000000"/>
        </w:rPr>
        <w:t>透過完整有脈絡的回收教育資訊，提升資源回收認知及素養，了解資源回收流程、回收物的經濟價值、循環經濟與線性經濟的差異。</w:t>
      </w:r>
    </w:p>
    <w:p w:rsidR="009D051C" w:rsidRDefault="007F6DC8">
      <w:pPr>
        <w:pStyle w:val="a3"/>
        <w:widowControl/>
        <w:numPr>
          <w:ilvl w:val="0"/>
          <w:numId w:val="2"/>
        </w:numPr>
        <w:spacing w:line="440" w:lineRule="exact"/>
        <w:jc w:val="both"/>
        <w:rPr>
          <w:rFonts w:cs="Calibri"/>
          <w:color w:val="000000"/>
        </w:rPr>
      </w:pPr>
      <w:r>
        <w:rPr>
          <w:rFonts w:cs="Calibri"/>
          <w:color w:val="000000"/>
        </w:rPr>
        <w:t>透過探究</w:t>
      </w:r>
      <w:proofErr w:type="gramStart"/>
      <w:r>
        <w:rPr>
          <w:rFonts w:cs="Calibri"/>
          <w:color w:val="000000"/>
        </w:rPr>
        <w:t>式桌遊</w:t>
      </w:r>
      <w:proofErr w:type="gramEnd"/>
      <w:r>
        <w:rPr>
          <w:rFonts w:cs="Calibri"/>
          <w:color w:val="000000"/>
        </w:rPr>
        <w:t>學習設計，引導學生學習「回收價值」及「回收經濟學」的核心觀念，培養責任消費與生產之信念與習慣。</w:t>
      </w:r>
    </w:p>
    <w:p w:rsidR="009D051C" w:rsidRDefault="007F6DC8">
      <w:pPr>
        <w:widowControl/>
        <w:numPr>
          <w:ilvl w:val="0"/>
          <w:numId w:val="1"/>
        </w:numPr>
        <w:spacing w:line="440" w:lineRule="exact"/>
        <w:ind w:left="567" w:hanging="621"/>
        <w:jc w:val="both"/>
        <w:rPr>
          <w:rFonts w:cs="Calibri"/>
          <w:color w:val="000000"/>
        </w:rPr>
      </w:pPr>
      <w:r>
        <w:rPr>
          <w:rFonts w:cs="Calibri"/>
          <w:color w:val="000000"/>
        </w:rPr>
        <w:t>辦理單位</w:t>
      </w:r>
    </w:p>
    <w:p w:rsidR="009D051C" w:rsidRDefault="007F6DC8">
      <w:pPr>
        <w:pStyle w:val="a3"/>
        <w:widowControl/>
        <w:numPr>
          <w:ilvl w:val="0"/>
          <w:numId w:val="3"/>
        </w:numPr>
        <w:spacing w:line="440" w:lineRule="exact"/>
        <w:jc w:val="both"/>
        <w:rPr>
          <w:rFonts w:cs="Calibri"/>
          <w:color w:val="000000"/>
        </w:rPr>
      </w:pPr>
      <w:r>
        <w:rPr>
          <w:rFonts w:cs="Calibri"/>
          <w:color w:val="000000"/>
        </w:rPr>
        <w:t>主辦單位：</w:t>
      </w:r>
      <w:proofErr w:type="gramStart"/>
      <w:r>
        <w:rPr>
          <w:rFonts w:cs="Calibri"/>
          <w:color w:val="000000"/>
        </w:rPr>
        <w:t>臺</w:t>
      </w:r>
      <w:proofErr w:type="gramEnd"/>
      <w:r>
        <w:rPr>
          <w:rFonts w:cs="Calibri"/>
          <w:color w:val="000000"/>
        </w:rPr>
        <w:t>南市政府教育局</w:t>
      </w:r>
    </w:p>
    <w:p w:rsidR="009D051C" w:rsidRDefault="007F6DC8">
      <w:pPr>
        <w:pStyle w:val="a3"/>
        <w:widowControl/>
        <w:numPr>
          <w:ilvl w:val="0"/>
          <w:numId w:val="3"/>
        </w:numPr>
        <w:spacing w:line="440" w:lineRule="exact"/>
        <w:jc w:val="both"/>
        <w:rPr>
          <w:rFonts w:cs="Calibri"/>
          <w:color w:val="000000"/>
        </w:rPr>
      </w:pPr>
      <w:r>
        <w:rPr>
          <w:rFonts w:cs="Calibri"/>
          <w:color w:val="000000"/>
        </w:rPr>
        <w:t>承辦單位：</w:t>
      </w:r>
      <w:proofErr w:type="gramStart"/>
      <w:r>
        <w:rPr>
          <w:rFonts w:cs="Calibri"/>
          <w:color w:val="000000"/>
        </w:rPr>
        <w:t>臺</w:t>
      </w:r>
      <w:proofErr w:type="gramEnd"/>
      <w:r>
        <w:rPr>
          <w:rFonts w:cs="Calibri"/>
          <w:color w:val="000000"/>
        </w:rPr>
        <w:t>南市綜合活動領域輔導團、臺南市七股區竹橋國小</w:t>
      </w:r>
    </w:p>
    <w:p w:rsidR="009D051C" w:rsidRDefault="007F6DC8">
      <w:pPr>
        <w:pStyle w:val="a3"/>
        <w:widowControl/>
        <w:numPr>
          <w:ilvl w:val="0"/>
          <w:numId w:val="3"/>
        </w:numPr>
        <w:spacing w:line="440" w:lineRule="exact"/>
        <w:jc w:val="both"/>
        <w:rPr>
          <w:rFonts w:cs="Calibri"/>
          <w:color w:val="000000"/>
        </w:rPr>
      </w:pPr>
      <w:r>
        <w:rPr>
          <w:rFonts w:cs="Calibri"/>
          <w:color w:val="000000"/>
        </w:rPr>
        <w:t>協辦單位：社團法人台灣重新思考環境教育協會</w:t>
      </w:r>
    </w:p>
    <w:p w:rsidR="009D051C" w:rsidRDefault="007F6DC8">
      <w:pPr>
        <w:widowControl/>
        <w:numPr>
          <w:ilvl w:val="0"/>
          <w:numId w:val="1"/>
        </w:numPr>
        <w:spacing w:line="440" w:lineRule="exact"/>
        <w:jc w:val="both"/>
        <w:rPr>
          <w:rFonts w:cs="Calibri"/>
        </w:rPr>
      </w:pPr>
      <w:r>
        <w:rPr>
          <w:rFonts w:cs="Calibri"/>
        </w:rPr>
        <w:t>辦理時間：</w:t>
      </w:r>
      <w:r>
        <w:rPr>
          <w:rFonts w:cs="Calibri"/>
        </w:rPr>
        <w:t>112</w:t>
      </w:r>
      <w:r>
        <w:rPr>
          <w:rFonts w:cs="Calibri"/>
        </w:rPr>
        <w:t>年</w:t>
      </w:r>
      <w:r>
        <w:rPr>
          <w:rFonts w:cs="Calibri"/>
        </w:rPr>
        <w:t>8</w:t>
      </w:r>
      <w:r>
        <w:rPr>
          <w:rFonts w:cs="Calibri"/>
        </w:rPr>
        <w:t>月</w:t>
      </w:r>
      <w:r>
        <w:rPr>
          <w:rFonts w:cs="Calibri"/>
        </w:rPr>
        <w:t>15</w:t>
      </w:r>
      <w:r>
        <w:rPr>
          <w:rFonts w:cs="Calibri"/>
        </w:rPr>
        <w:t>日（週二）上午</w:t>
      </w:r>
      <w:r>
        <w:rPr>
          <w:rFonts w:cs="Calibri"/>
        </w:rPr>
        <w:t>9:00-12:00</w:t>
      </w:r>
    </w:p>
    <w:p w:rsidR="009D051C" w:rsidRDefault="007F6DC8">
      <w:pPr>
        <w:widowControl/>
        <w:numPr>
          <w:ilvl w:val="0"/>
          <w:numId w:val="1"/>
        </w:numPr>
        <w:spacing w:line="440" w:lineRule="exact"/>
        <w:jc w:val="both"/>
      </w:pPr>
      <w:r>
        <w:rPr>
          <w:rFonts w:cs="Calibri"/>
        </w:rPr>
        <w:t>辦理地點</w:t>
      </w:r>
      <w:r>
        <w:rPr>
          <w:rFonts w:cs="Calibri"/>
          <w:color w:val="000000"/>
        </w:rPr>
        <w:t>：</w:t>
      </w:r>
      <w:proofErr w:type="gramStart"/>
      <w:r>
        <w:rPr>
          <w:rFonts w:cs="Calibri"/>
          <w:color w:val="000000"/>
        </w:rPr>
        <w:t>臺</w:t>
      </w:r>
      <w:proofErr w:type="gramEnd"/>
      <w:r>
        <w:rPr>
          <w:rFonts w:cs="Calibri"/>
          <w:color w:val="000000"/>
        </w:rPr>
        <w:t>南市七股區竹橋國小二樓視聽教室</w:t>
      </w:r>
    </w:p>
    <w:p w:rsidR="009D051C" w:rsidRDefault="007F6DC8">
      <w:pPr>
        <w:widowControl/>
        <w:numPr>
          <w:ilvl w:val="0"/>
          <w:numId w:val="1"/>
        </w:numPr>
        <w:spacing w:line="440" w:lineRule="exact"/>
        <w:jc w:val="both"/>
        <w:rPr>
          <w:rFonts w:cs="Calibri"/>
          <w:color w:val="000000"/>
        </w:rPr>
      </w:pPr>
      <w:r>
        <w:rPr>
          <w:rFonts w:cs="Calibri"/>
          <w:color w:val="000000"/>
        </w:rPr>
        <w:t>研習對象：本市中小學教師鼓勵報名參加。</w:t>
      </w:r>
    </w:p>
    <w:p w:rsidR="009D051C" w:rsidRDefault="007F6DC8">
      <w:pPr>
        <w:widowControl/>
        <w:numPr>
          <w:ilvl w:val="0"/>
          <w:numId w:val="1"/>
        </w:numPr>
        <w:spacing w:line="440" w:lineRule="exact"/>
        <w:jc w:val="both"/>
        <w:rPr>
          <w:rFonts w:cs="Calibri"/>
          <w:color w:val="000000"/>
        </w:rPr>
      </w:pPr>
      <w:r>
        <w:rPr>
          <w:rFonts w:cs="Calibri"/>
          <w:color w:val="000000"/>
        </w:rPr>
        <w:t>實施方式與課程架構：</w:t>
      </w:r>
    </w:p>
    <w:p w:rsidR="009D051C" w:rsidRDefault="007F6DC8">
      <w:pPr>
        <w:pStyle w:val="a3"/>
        <w:widowControl/>
        <w:numPr>
          <w:ilvl w:val="0"/>
          <w:numId w:val="4"/>
        </w:numPr>
        <w:spacing w:line="440" w:lineRule="exact"/>
        <w:jc w:val="both"/>
      </w:pPr>
      <w:r>
        <w:rPr>
          <w:rFonts w:cs="Calibri"/>
          <w:color w:val="000000"/>
        </w:rPr>
        <w:t>實施方式：</w:t>
      </w:r>
      <w:proofErr w:type="gramStart"/>
      <w:r>
        <w:t>採</w:t>
      </w:r>
      <w:proofErr w:type="gramEnd"/>
      <w:r>
        <w:t>實體簡報、分組</w:t>
      </w:r>
      <w:proofErr w:type="gramStart"/>
      <w:r>
        <w:t>進行桌遊體</w:t>
      </w:r>
      <w:proofErr w:type="gramEnd"/>
      <w:r>
        <w:t>驗、</w:t>
      </w:r>
      <w:proofErr w:type="gramStart"/>
      <w:r>
        <w:t>桌遊</w:t>
      </w:r>
      <w:proofErr w:type="gramEnd"/>
      <w:r>
        <w:t>後討論及回饋等方式進行。</w:t>
      </w:r>
    </w:p>
    <w:p w:rsidR="009D051C" w:rsidRDefault="007F6DC8">
      <w:pPr>
        <w:pStyle w:val="a3"/>
        <w:widowControl/>
        <w:numPr>
          <w:ilvl w:val="0"/>
          <w:numId w:val="4"/>
        </w:numPr>
        <w:spacing w:line="440" w:lineRule="exact"/>
        <w:jc w:val="both"/>
        <w:rPr>
          <w:rFonts w:cs="Calibri"/>
        </w:rPr>
      </w:pPr>
      <w:r>
        <w:rPr>
          <w:rFonts w:cs="Calibri"/>
        </w:rPr>
        <w:t>課程內涵：探討台灣海灘現況、生活垃圾去哪裡、回收大挑戰與</w:t>
      </w:r>
      <w:proofErr w:type="gramStart"/>
      <w:r>
        <w:rPr>
          <w:rFonts w:cs="Calibri"/>
        </w:rPr>
        <w:t>快問快</w:t>
      </w:r>
      <w:proofErr w:type="gramEnd"/>
      <w:r>
        <w:rPr>
          <w:rFonts w:cs="Calibri"/>
        </w:rPr>
        <w:t>答遊戲設計、循環之</w:t>
      </w:r>
      <w:proofErr w:type="gramStart"/>
      <w:r>
        <w:rPr>
          <w:rFonts w:cs="Calibri"/>
        </w:rPr>
        <w:t>邦桌</w:t>
      </w:r>
      <w:proofErr w:type="gramEnd"/>
      <w:r>
        <w:rPr>
          <w:rFonts w:cs="Calibri"/>
        </w:rPr>
        <w:t>遊體驗、回收價值與循環經濟討論。</w:t>
      </w:r>
    </w:p>
    <w:p w:rsidR="009D051C" w:rsidRDefault="007F6DC8">
      <w:pPr>
        <w:pStyle w:val="a3"/>
        <w:widowControl/>
        <w:numPr>
          <w:ilvl w:val="0"/>
          <w:numId w:val="4"/>
        </w:numPr>
        <w:spacing w:line="440" w:lineRule="exact"/>
        <w:jc w:val="both"/>
      </w:pPr>
      <w:r>
        <w:rPr>
          <w:color w:val="000000"/>
          <w:kern w:val="3"/>
        </w:rPr>
        <w:t>課程表：</w:t>
      </w:r>
    </w:p>
    <w:tbl>
      <w:tblPr>
        <w:tblW w:w="7683" w:type="dxa"/>
        <w:tblInd w:w="392" w:type="dxa"/>
        <w:tblCellMar>
          <w:left w:w="10" w:type="dxa"/>
          <w:right w:w="10" w:type="dxa"/>
        </w:tblCellMar>
        <w:tblLook w:val="0000" w:firstRow="0" w:lastRow="0" w:firstColumn="0" w:lastColumn="0" w:noHBand="0" w:noVBand="0"/>
      </w:tblPr>
      <w:tblGrid>
        <w:gridCol w:w="1686"/>
        <w:gridCol w:w="5997"/>
      </w:tblGrid>
      <w:tr w:rsidR="009D051C">
        <w:tblPrEx>
          <w:tblCellMar>
            <w:top w:w="0" w:type="dxa"/>
            <w:bottom w:w="0" w:type="dxa"/>
          </w:tblCellMar>
        </w:tblPrEx>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51C" w:rsidRDefault="007F6DC8">
            <w:pPr>
              <w:pStyle w:val="a3"/>
              <w:ind w:left="0"/>
              <w:jc w:val="center"/>
            </w:pPr>
            <w:r>
              <w:t>時間</w:t>
            </w:r>
          </w:p>
        </w:tc>
        <w:tc>
          <w:tcPr>
            <w:tcW w:w="5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051C" w:rsidRDefault="007F6DC8">
            <w:pPr>
              <w:pStyle w:val="a3"/>
              <w:ind w:left="0"/>
              <w:jc w:val="center"/>
            </w:pPr>
            <w:r>
              <w:t>內</w:t>
            </w:r>
            <w:r>
              <w:t xml:space="preserve">  </w:t>
            </w:r>
            <w:r>
              <w:t>容</w:t>
            </w:r>
          </w:p>
        </w:tc>
      </w:tr>
      <w:tr w:rsidR="009D051C">
        <w:tblPrEx>
          <w:tblCellMar>
            <w:top w:w="0" w:type="dxa"/>
            <w:bottom w:w="0" w:type="dxa"/>
          </w:tblCellMar>
        </w:tblPrEx>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051C" w:rsidRDefault="007F6DC8">
            <w:pPr>
              <w:pStyle w:val="a3"/>
              <w:ind w:left="0"/>
              <w:jc w:val="both"/>
            </w:pPr>
            <w:r>
              <w:t>08:45-09:00</w:t>
            </w:r>
          </w:p>
        </w:tc>
        <w:tc>
          <w:tcPr>
            <w:tcW w:w="5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051C" w:rsidRDefault="007F6DC8">
            <w:pPr>
              <w:pStyle w:val="a3"/>
              <w:ind w:left="0"/>
              <w:jc w:val="both"/>
            </w:pPr>
            <w:r>
              <w:t>報到</w:t>
            </w:r>
          </w:p>
        </w:tc>
      </w:tr>
      <w:tr w:rsidR="009D051C">
        <w:tblPrEx>
          <w:tblCellMar>
            <w:top w:w="0" w:type="dxa"/>
            <w:bottom w:w="0" w:type="dxa"/>
          </w:tblCellMar>
        </w:tblPrEx>
        <w:trPr>
          <w:trHeight w:val="1220"/>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051C" w:rsidRDefault="007F6DC8">
            <w:pPr>
              <w:pStyle w:val="a3"/>
              <w:ind w:left="0"/>
              <w:jc w:val="both"/>
            </w:pPr>
            <w:r>
              <w:t>09:00-10:00</w:t>
            </w:r>
          </w:p>
          <w:p w:rsidR="009D051C" w:rsidRDefault="009D051C">
            <w:pPr>
              <w:jc w:val="both"/>
            </w:pPr>
          </w:p>
        </w:tc>
        <w:tc>
          <w:tcPr>
            <w:tcW w:w="5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051C" w:rsidRDefault="007F6DC8">
            <w:pPr>
              <w:pStyle w:val="a3"/>
              <w:numPr>
                <w:ilvl w:val="0"/>
                <w:numId w:val="5"/>
              </w:numPr>
              <w:jc w:val="both"/>
            </w:pPr>
            <w:r>
              <w:t>台灣海洋現況</w:t>
            </w:r>
          </w:p>
          <w:p w:rsidR="009D051C" w:rsidRDefault="007F6DC8">
            <w:pPr>
              <w:pStyle w:val="a3"/>
              <w:numPr>
                <w:ilvl w:val="0"/>
                <w:numId w:val="5"/>
              </w:numPr>
              <w:jc w:val="both"/>
            </w:pPr>
            <w:proofErr w:type="gramStart"/>
            <w:r>
              <w:t>海廢圖鑑</w:t>
            </w:r>
            <w:proofErr w:type="gramEnd"/>
            <w:r>
              <w:t>/</w:t>
            </w:r>
            <w:r>
              <w:t>回收大百科網站</w:t>
            </w:r>
            <w:r>
              <w:t xml:space="preserve"> </w:t>
            </w:r>
            <w:r>
              <w:t>介紹</w:t>
            </w:r>
          </w:p>
          <w:p w:rsidR="009D051C" w:rsidRDefault="007F6DC8">
            <w:pPr>
              <w:pStyle w:val="a3"/>
              <w:numPr>
                <w:ilvl w:val="0"/>
                <w:numId w:val="5"/>
              </w:numPr>
              <w:jc w:val="both"/>
            </w:pPr>
            <w:r>
              <w:t>Quizizz</w:t>
            </w:r>
            <w:r>
              <w:t>回收大挑戰</w:t>
            </w:r>
          </w:p>
        </w:tc>
      </w:tr>
      <w:tr w:rsidR="009D051C">
        <w:tblPrEx>
          <w:tblCellMar>
            <w:top w:w="0" w:type="dxa"/>
            <w:bottom w:w="0" w:type="dxa"/>
          </w:tblCellMar>
        </w:tblPrEx>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051C" w:rsidRDefault="007F6DC8">
            <w:pPr>
              <w:pStyle w:val="a3"/>
              <w:ind w:left="0"/>
              <w:jc w:val="both"/>
            </w:pPr>
            <w:r>
              <w:t>10:00-10:30</w:t>
            </w:r>
          </w:p>
        </w:tc>
        <w:tc>
          <w:tcPr>
            <w:tcW w:w="5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051C" w:rsidRDefault="007F6DC8">
            <w:pPr>
              <w:pStyle w:val="a3"/>
              <w:ind w:left="0"/>
              <w:jc w:val="both"/>
            </w:pPr>
            <w:r>
              <w:t>循環之</w:t>
            </w:r>
            <w:proofErr w:type="gramStart"/>
            <w:r>
              <w:t>邦桌遊</w:t>
            </w:r>
            <w:proofErr w:type="gramEnd"/>
            <w:r>
              <w:t>體驗（含講解帶領桌遊）</w:t>
            </w:r>
          </w:p>
        </w:tc>
      </w:tr>
      <w:tr w:rsidR="009D051C">
        <w:tblPrEx>
          <w:tblCellMar>
            <w:top w:w="0" w:type="dxa"/>
            <w:bottom w:w="0" w:type="dxa"/>
          </w:tblCellMar>
        </w:tblPrEx>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051C" w:rsidRDefault="007F6DC8">
            <w:pPr>
              <w:pStyle w:val="a3"/>
              <w:ind w:left="0"/>
              <w:jc w:val="both"/>
            </w:pPr>
            <w:r>
              <w:t>10:30-10:40</w:t>
            </w:r>
          </w:p>
        </w:tc>
        <w:tc>
          <w:tcPr>
            <w:tcW w:w="5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051C" w:rsidRDefault="007F6DC8">
            <w:pPr>
              <w:pStyle w:val="a3"/>
              <w:ind w:left="0"/>
              <w:jc w:val="center"/>
            </w:pPr>
            <w:r>
              <w:t>休息</w:t>
            </w:r>
          </w:p>
        </w:tc>
      </w:tr>
      <w:tr w:rsidR="009D051C">
        <w:tblPrEx>
          <w:tblCellMar>
            <w:top w:w="0" w:type="dxa"/>
            <w:bottom w:w="0" w:type="dxa"/>
          </w:tblCellMar>
        </w:tblPrEx>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051C" w:rsidRDefault="007F6DC8">
            <w:pPr>
              <w:jc w:val="both"/>
            </w:pPr>
            <w:r>
              <w:t>10:40-11:30</w:t>
            </w:r>
          </w:p>
        </w:tc>
        <w:tc>
          <w:tcPr>
            <w:tcW w:w="5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051C" w:rsidRDefault="007F6DC8">
            <w:pPr>
              <w:jc w:val="both"/>
            </w:pPr>
            <w:r>
              <w:t>循環之</w:t>
            </w:r>
            <w:proofErr w:type="gramStart"/>
            <w:r>
              <w:t>邦桌遊</w:t>
            </w:r>
            <w:proofErr w:type="gramEnd"/>
            <w:r>
              <w:t>體驗（含講解帶領桌遊）</w:t>
            </w:r>
          </w:p>
        </w:tc>
      </w:tr>
      <w:tr w:rsidR="009D051C">
        <w:tblPrEx>
          <w:tblCellMar>
            <w:top w:w="0" w:type="dxa"/>
            <w:bottom w:w="0" w:type="dxa"/>
          </w:tblCellMar>
        </w:tblPrEx>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051C" w:rsidRDefault="007F6DC8">
            <w:pPr>
              <w:jc w:val="both"/>
            </w:pPr>
            <w:r>
              <w:t>11:40-12:00</w:t>
            </w:r>
          </w:p>
        </w:tc>
        <w:tc>
          <w:tcPr>
            <w:tcW w:w="5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051C" w:rsidRDefault="007F6DC8">
            <w:pPr>
              <w:jc w:val="both"/>
            </w:pPr>
            <w:r>
              <w:rPr>
                <w:bCs/>
              </w:rPr>
              <w:t>討論及回饋</w:t>
            </w:r>
          </w:p>
        </w:tc>
      </w:tr>
    </w:tbl>
    <w:p w:rsidR="009D051C" w:rsidRDefault="007F6DC8">
      <w:pPr>
        <w:ind w:firstLine="1080"/>
        <w:jc w:val="both"/>
        <w:rPr>
          <w:color w:val="000000"/>
          <w:kern w:val="3"/>
        </w:rPr>
      </w:pPr>
      <w:r>
        <w:rPr>
          <w:color w:val="000000"/>
          <w:kern w:val="3"/>
        </w:rPr>
        <w:lastRenderedPageBreak/>
        <w:t>※</w:t>
      </w:r>
      <w:proofErr w:type="gramStart"/>
      <w:r>
        <w:rPr>
          <w:color w:val="000000"/>
          <w:kern w:val="3"/>
        </w:rPr>
        <w:t>桌遊課程</w:t>
      </w:r>
      <w:proofErr w:type="gramEnd"/>
      <w:r>
        <w:rPr>
          <w:color w:val="000000"/>
          <w:kern w:val="3"/>
        </w:rPr>
        <w:t>以分組方式進行，每組</w:t>
      </w:r>
      <w:r>
        <w:rPr>
          <w:color w:val="000000"/>
          <w:kern w:val="3"/>
        </w:rPr>
        <w:t>4-6</w:t>
      </w:r>
      <w:r>
        <w:rPr>
          <w:color w:val="000000"/>
          <w:kern w:val="3"/>
        </w:rPr>
        <w:t>人，由講師帶領實作。</w:t>
      </w:r>
    </w:p>
    <w:p w:rsidR="009D051C" w:rsidRDefault="007F6DC8">
      <w:pPr>
        <w:widowControl/>
        <w:numPr>
          <w:ilvl w:val="0"/>
          <w:numId w:val="1"/>
        </w:numPr>
        <w:spacing w:line="440" w:lineRule="exact"/>
        <w:ind w:left="567" w:hanging="621"/>
        <w:jc w:val="both"/>
        <w:rPr>
          <w:rFonts w:cs="Arial"/>
          <w:color w:val="000000"/>
          <w:kern w:val="3"/>
        </w:rPr>
      </w:pPr>
      <w:r>
        <w:rPr>
          <w:rFonts w:cs="Arial"/>
          <w:color w:val="000000"/>
          <w:kern w:val="3"/>
        </w:rPr>
        <w:t>報名方式</w:t>
      </w:r>
    </w:p>
    <w:p w:rsidR="009D051C" w:rsidRDefault="007F6DC8">
      <w:pPr>
        <w:pStyle w:val="a3"/>
        <w:widowControl/>
        <w:numPr>
          <w:ilvl w:val="0"/>
          <w:numId w:val="6"/>
        </w:numPr>
        <w:spacing w:line="440" w:lineRule="exact"/>
        <w:jc w:val="both"/>
        <w:rPr>
          <w:rFonts w:cs="Calibri"/>
          <w:color w:val="000000"/>
        </w:rPr>
      </w:pPr>
      <w:r>
        <w:rPr>
          <w:rFonts w:cs="Calibri"/>
          <w:color w:val="000000"/>
        </w:rPr>
        <w:t>教師工作坊結束，現場皆可獲贈「循環之</w:t>
      </w:r>
      <w:proofErr w:type="gramStart"/>
      <w:r>
        <w:rPr>
          <w:rFonts w:cs="Calibri"/>
          <w:color w:val="000000"/>
        </w:rPr>
        <w:t>邦</w:t>
      </w:r>
      <w:proofErr w:type="gramEnd"/>
      <w:r>
        <w:rPr>
          <w:rFonts w:cs="Calibri"/>
          <w:color w:val="000000"/>
        </w:rPr>
        <w:t>」</w:t>
      </w:r>
      <w:proofErr w:type="gramStart"/>
      <w:r>
        <w:rPr>
          <w:rFonts w:cs="Calibri"/>
          <w:color w:val="000000"/>
        </w:rPr>
        <w:t>桌遊一</w:t>
      </w:r>
      <w:proofErr w:type="gramEnd"/>
      <w:r>
        <w:rPr>
          <w:rFonts w:cs="Calibri"/>
          <w:color w:val="000000"/>
        </w:rPr>
        <w:t>套。</w:t>
      </w:r>
    </w:p>
    <w:p w:rsidR="009D051C" w:rsidRDefault="007F6DC8">
      <w:pPr>
        <w:pStyle w:val="a3"/>
        <w:widowControl/>
        <w:numPr>
          <w:ilvl w:val="0"/>
          <w:numId w:val="6"/>
        </w:numPr>
        <w:spacing w:line="440" w:lineRule="exact"/>
        <w:jc w:val="both"/>
        <w:rPr>
          <w:rFonts w:cs="Calibri"/>
          <w:color w:val="000000"/>
        </w:rPr>
      </w:pPr>
      <w:r>
        <w:rPr>
          <w:rFonts w:cs="Calibri"/>
          <w:color w:val="000000"/>
        </w:rPr>
        <w:t>參加研習人員至</w:t>
      </w:r>
      <w:proofErr w:type="gramStart"/>
      <w:r>
        <w:rPr>
          <w:rFonts w:cs="Calibri"/>
          <w:color w:val="000000"/>
        </w:rPr>
        <w:t>臺</w:t>
      </w:r>
      <w:proofErr w:type="gramEnd"/>
      <w:r>
        <w:rPr>
          <w:rFonts w:cs="Calibri"/>
          <w:color w:val="000000"/>
        </w:rPr>
        <w:t>南市教育局資訊中心學習護照報名，研習代號</w:t>
      </w:r>
      <w:r>
        <w:rPr>
          <w:rFonts w:cs="Calibri"/>
          <w:color w:val="000000"/>
        </w:rPr>
        <w:t>281555</w:t>
      </w:r>
      <w:r>
        <w:rPr>
          <w:rFonts w:cs="Calibri"/>
          <w:color w:val="000000"/>
        </w:rPr>
        <w:t>，研習人數限</w:t>
      </w:r>
      <w:r>
        <w:rPr>
          <w:rFonts w:cs="Calibri"/>
          <w:color w:val="000000"/>
        </w:rPr>
        <w:t>30</w:t>
      </w:r>
      <w:r>
        <w:rPr>
          <w:rFonts w:cs="Calibri"/>
          <w:color w:val="000000"/>
        </w:rPr>
        <w:t>人，依報名先後錄取。</w:t>
      </w:r>
    </w:p>
    <w:p w:rsidR="009D051C" w:rsidRDefault="007F6DC8">
      <w:pPr>
        <w:widowControl/>
        <w:numPr>
          <w:ilvl w:val="0"/>
          <w:numId w:val="1"/>
        </w:numPr>
        <w:spacing w:line="440" w:lineRule="exact"/>
        <w:ind w:left="709" w:hanging="763"/>
        <w:jc w:val="both"/>
      </w:pPr>
      <w:r>
        <w:rPr>
          <w:rFonts w:cs="Calibri"/>
          <w:color w:val="000000"/>
          <w:kern w:val="3"/>
        </w:rPr>
        <w:t>本活動承辦工作人員、講師暨與會人員，請學校</w:t>
      </w:r>
      <w:proofErr w:type="gramStart"/>
      <w:r>
        <w:rPr>
          <w:rFonts w:cs="Calibri"/>
          <w:color w:val="000000"/>
          <w:kern w:val="3"/>
        </w:rPr>
        <w:t>惠予公</w:t>
      </w:r>
      <w:proofErr w:type="gramEnd"/>
      <w:r>
        <w:rPr>
          <w:rFonts w:cs="Calibri"/>
          <w:color w:val="000000"/>
          <w:kern w:val="3"/>
        </w:rPr>
        <w:t>（差）假登記，課務自理。</w:t>
      </w:r>
    </w:p>
    <w:p w:rsidR="009D051C" w:rsidRDefault="007F6DC8">
      <w:pPr>
        <w:widowControl/>
        <w:numPr>
          <w:ilvl w:val="0"/>
          <w:numId w:val="1"/>
        </w:numPr>
        <w:spacing w:line="440" w:lineRule="exact"/>
        <w:ind w:left="709" w:hanging="763"/>
        <w:jc w:val="both"/>
      </w:pPr>
      <w:r>
        <w:rPr>
          <w:rFonts w:cs="Calibri"/>
          <w:color w:val="000000"/>
        </w:rPr>
        <w:t>經費來源與概算：教育部國民及學前教育署補助辦理十二年國民基本教育精進國民中學及國民小學教學品質計畫經費。</w:t>
      </w:r>
    </w:p>
    <w:p w:rsidR="009D051C" w:rsidRDefault="007F6DC8">
      <w:pPr>
        <w:widowControl/>
        <w:numPr>
          <w:ilvl w:val="0"/>
          <w:numId w:val="1"/>
        </w:numPr>
        <w:spacing w:line="440" w:lineRule="exact"/>
        <w:ind w:left="709" w:hanging="763"/>
        <w:jc w:val="both"/>
      </w:pPr>
      <w:r>
        <w:rPr>
          <w:rFonts w:cs="Calibri"/>
          <w:color w:val="000000"/>
          <w:kern w:val="3"/>
        </w:rPr>
        <w:t>預期成效：</w:t>
      </w:r>
    </w:p>
    <w:p w:rsidR="009D051C" w:rsidRDefault="007F6DC8">
      <w:pPr>
        <w:pStyle w:val="a3"/>
        <w:numPr>
          <w:ilvl w:val="0"/>
          <w:numId w:val="7"/>
        </w:numPr>
        <w:rPr>
          <w:color w:val="000000"/>
        </w:rPr>
      </w:pPr>
      <w:r>
        <w:rPr>
          <w:color w:val="000000"/>
        </w:rPr>
        <w:t>透過授課及循環之</w:t>
      </w:r>
      <w:proofErr w:type="gramStart"/>
      <w:r>
        <w:rPr>
          <w:color w:val="000000"/>
        </w:rPr>
        <w:t>邦桌遊</w:t>
      </w:r>
      <w:proofErr w:type="gramEnd"/>
      <w:r>
        <w:rPr>
          <w:color w:val="000000"/>
        </w:rPr>
        <w:t>，提升教師對於台灣回收議題及循環經濟知能。</w:t>
      </w:r>
    </w:p>
    <w:p w:rsidR="009D051C" w:rsidRDefault="007F6DC8">
      <w:pPr>
        <w:pStyle w:val="a3"/>
        <w:numPr>
          <w:ilvl w:val="0"/>
          <w:numId w:val="7"/>
        </w:numPr>
        <w:snapToGrid w:val="0"/>
        <w:spacing w:line="440" w:lineRule="exact"/>
      </w:pPr>
      <w:r>
        <w:rPr>
          <w:color w:val="000000"/>
        </w:rPr>
        <w:t>教師將循環經濟</w:t>
      </w:r>
      <w:proofErr w:type="gramStart"/>
      <w:r>
        <w:rPr>
          <w:color w:val="000000"/>
        </w:rPr>
        <w:t>透過桌遊形式</w:t>
      </w:r>
      <w:proofErr w:type="gramEnd"/>
      <w:r>
        <w:rPr>
          <w:color w:val="000000"/>
        </w:rPr>
        <w:t>帶回班級，影響學生對於垃圾減量及回收行動。</w:t>
      </w:r>
    </w:p>
    <w:p w:rsidR="009D051C" w:rsidRDefault="007F6DC8">
      <w:pPr>
        <w:widowControl/>
        <w:numPr>
          <w:ilvl w:val="0"/>
          <w:numId w:val="1"/>
        </w:numPr>
        <w:spacing w:line="440" w:lineRule="exact"/>
        <w:ind w:left="709" w:hanging="763"/>
        <w:jc w:val="both"/>
      </w:pPr>
      <w:r>
        <w:rPr>
          <w:rFonts w:cs="Calibri"/>
          <w:color w:val="000000"/>
          <w:kern w:val="3"/>
        </w:rPr>
        <w:t>獎勵：辦理本案有功人員，請依</w:t>
      </w:r>
      <w:proofErr w:type="gramStart"/>
      <w:r>
        <w:rPr>
          <w:rFonts w:cs="Calibri"/>
          <w:color w:val="000000"/>
          <w:kern w:val="3"/>
        </w:rPr>
        <w:t>臺</w:t>
      </w:r>
      <w:proofErr w:type="gramEnd"/>
      <w:r>
        <w:rPr>
          <w:rFonts w:cs="Calibri"/>
          <w:color w:val="000000"/>
          <w:kern w:val="3"/>
        </w:rPr>
        <w:t>南市立高級中等以下學校教職員獎懲案件作業規定辦理敘獎。</w:t>
      </w:r>
      <w:r>
        <w:rPr>
          <w:rFonts w:cs="Calibri"/>
          <w:b/>
          <w:color w:val="000000"/>
          <w:kern w:val="3"/>
        </w:rPr>
        <w:t xml:space="preserve"> </w:t>
      </w:r>
    </w:p>
    <w:p w:rsidR="009D051C" w:rsidRDefault="009D051C">
      <w:pPr>
        <w:widowControl/>
        <w:spacing w:line="440" w:lineRule="exact"/>
        <w:jc w:val="both"/>
        <w:rPr>
          <w:rFonts w:cs="Calibri"/>
          <w:b/>
          <w:color w:val="000000"/>
          <w:kern w:val="3"/>
        </w:rPr>
      </w:pPr>
    </w:p>
    <w:p w:rsidR="009D051C" w:rsidRDefault="009D051C">
      <w:pPr>
        <w:pageBreakBefore/>
        <w:widowControl/>
        <w:spacing w:line="240" w:lineRule="auto"/>
        <w:rPr>
          <w:rFonts w:ascii="Cambria" w:eastAsia="新細明體" w:hAnsi="Cambria" w:cs="新細明體"/>
          <w:color w:val="444444"/>
          <w:sz w:val="27"/>
          <w:szCs w:val="27"/>
        </w:rPr>
      </w:pPr>
    </w:p>
    <w:p w:rsidR="009D051C" w:rsidRDefault="007F6DC8">
      <w:pPr>
        <w:widowControl/>
        <w:spacing w:line="440" w:lineRule="exact"/>
        <w:jc w:val="both"/>
        <w:rPr>
          <w:rFonts w:cs="新細明體"/>
          <w:color w:val="444444"/>
          <w:sz w:val="32"/>
          <w:szCs w:val="32"/>
        </w:rPr>
      </w:pPr>
      <w:r>
        <w:rPr>
          <w:rFonts w:cs="新細明體"/>
          <w:color w:val="444444"/>
          <w:sz w:val="32"/>
          <w:szCs w:val="32"/>
        </w:rPr>
        <w:t>附件一、循環之</w:t>
      </w:r>
      <w:proofErr w:type="gramStart"/>
      <w:r>
        <w:rPr>
          <w:rFonts w:cs="新細明體"/>
          <w:color w:val="444444"/>
          <w:sz w:val="32"/>
          <w:szCs w:val="32"/>
        </w:rPr>
        <w:t>邦桌遊</w:t>
      </w:r>
      <w:proofErr w:type="gramEnd"/>
      <w:r>
        <w:rPr>
          <w:rFonts w:cs="新細明體"/>
          <w:color w:val="444444"/>
          <w:sz w:val="32"/>
          <w:szCs w:val="32"/>
        </w:rPr>
        <w:t>簡介</w:t>
      </w:r>
    </w:p>
    <w:p w:rsidR="009D051C" w:rsidRDefault="007F6DC8">
      <w:pPr>
        <w:widowControl/>
        <w:spacing w:line="440" w:lineRule="exact"/>
        <w:jc w:val="both"/>
        <w:rPr>
          <w:color w:val="000000"/>
        </w:rPr>
      </w:pPr>
      <w:r>
        <w:rPr>
          <w:color w:val="000000"/>
        </w:rPr>
        <w:t>循環之</w:t>
      </w:r>
      <w:proofErr w:type="gramStart"/>
      <w:r>
        <w:rPr>
          <w:color w:val="000000"/>
        </w:rPr>
        <w:t>邦桌遊</w:t>
      </w:r>
      <w:proofErr w:type="gramEnd"/>
      <w:r>
        <w:rPr>
          <w:color w:val="000000"/>
        </w:rPr>
        <w:t>課程，是針對聯合國永續發展目標</w:t>
      </w:r>
      <w:r>
        <w:rPr>
          <w:color w:val="000000"/>
        </w:rPr>
        <w:t>SDGs12</w:t>
      </w:r>
      <w:r>
        <w:rPr>
          <w:color w:val="000000"/>
        </w:rPr>
        <w:t>（永續消費及生產模式）所研發，課程貼合生活情境，</w:t>
      </w:r>
      <w:proofErr w:type="gramStart"/>
      <w:r>
        <w:rPr>
          <w:color w:val="000000"/>
        </w:rPr>
        <w:t>透過桌遊過</w:t>
      </w:r>
      <w:proofErr w:type="gramEnd"/>
      <w:r>
        <w:rPr>
          <w:color w:val="000000"/>
        </w:rPr>
        <w:t>程判斷手邊產生出來的垃圾材質及回收方式，進一步將都市再生資源最大化，達成循環經濟目標的環境</w:t>
      </w:r>
      <w:proofErr w:type="gramStart"/>
      <w:r>
        <w:rPr>
          <w:color w:val="000000"/>
        </w:rPr>
        <w:t>主題桌</w:t>
      </w:r>
      <w:proofErr w:type="gramEnd"/>
      <w:r>
        <w:rPr>
          <w:color w:val="000000"/>
        </w:rPr>
        <w:t>遊。本課程關注海洋環境污染、資源回收現況，以互動形式理解循環經濟，幫助人們在垃圾爆量的情況下</w:t>
      </w:r>
      <w:proofErr w:type="gramStart"/>
      <w:r>
        <w:rPr>
          <w:color w:val="000000"/>
        </w:rPr>
        <w:t>如何懂丟垃圾</w:t>
      </w:r>
      <w:proofErr w:type="gramEnd"/>
      <w:r>
        <w:rPr>
          <w:color w:val="000000"/>
        </w:rPr>
        <w:t>及負責任的消</w:t>
      </w:r>
      <w:r>
        <w:rPr>
          <w:color w:val="000000"/>
        </w:rPr>
        <w:t>費，減緩環境的破壞。</w:t>
      </w:r>
    </w:p>
    <w:p w:rsidR="009D051C" w:rsidRDefault="007F6DC8">
      <w:pPr>
        <w:widowControl/>
        <w:spacing w:line="440" w:lineRule="exact"/>
        <w:jc w:val="both"/>
        <w:rPr>
          <w:color w:val="000000"/>
        </w:rPr>
      </w:pPr>
      <w:r>
        <w:rPr>
          <w:color w:val="000000"/>
        </w:rPr>
        <w:t>(</w:t>
      </w:r>
      <w:proofErr w:type="gramStart"/>
      <w:r>
        <w:rPr>
          <w:color w:val="000000"/>
        </w:rPr>
        <w:t>一</w:t>
      </w:r>
      <w:proofErr w:type="gramEnd"/>
      <w:r>
        <w:rPr>
          <w:color w:val="000000"/>
        </w:rPr>
        <w:t>)</w:t>
      </w:r>
      <w:r>
        <w:rPr>
          <w:color w:val="000000"/>
        </w:rPr>
        <w:tab/>
      </w:r>
      <w:r>
        <w:rPr>
          <w:color w:val="000000"/>
        </w:rPr>
        <w:t>發掘台灣人最搞不懂的垃圾品項</w:t>
      </w:r>
    </w:p>
    <w:p w:rsidR="009D051C" w:rsidRDefault="007F6DC8">
      <w:pPr>
        <w:widowControl/>
        <w:spacing w:line="440" w:lineRule="exact"/>
        <w:jc w:val="both"/>
        <w:rPr>
          <w:color w:val="000000"/>
        </w:rPr>
      </w:pPr>
      <w:r>
        <w:rPr>
          <w:color w:val="000000"/>
        </w:rPr>
        <w:t>(</w:t>
      </w:r>
      <w:r>
        <w:rPr>
          <w:color w:val="000000"/>
        </w:rPr>
        <w:t>二</w:t>
      </w:r>
      <w:r>
        <w:rPr>
          <w:color w:val="000000"/>
        </w:rPr>
        <w:t>)</w:t>
      </w:r>
      <w:r>
        <w:rPr>
          <w:color w:val="000000"/>
        </w:rPr>
        <w:tab/>
      </w:r>
      <w:r>
        <w:rPr>
          <w:color w:val="000000"/>
        </w:rPr>
        <w:t>回收不是死</w:t>
      </w:r>
      <w:proofErr w:type="gramStart"/>
      <w:r>
        <w:rPr>
          <w:color w:val="000000"/>
        </w:rPr>
        <w:t>背硬記</w:t>
      </w:r>
      <w:proofErr w:type="gramEnd"/>
      <w:r>
        <w:rPr>
          <w:color w:val="000000"/>
        </w:rPr>
        <w:t>，而是邏輯觀念</w:t>
      </w:r>
    </w:p>
    <w:p w:rsidR="009D051C" w:rsidRDefault="007F6DC8">
      <w:pPr>
        <w:widowControl/>
        <w:spacing w:line="440" w:lineRule="exact"/>
        <w:jc w:val="both"/>
        <w:rPr>
          <w:color w:val="000000"/>
        </w:rPr>
      </w:pPr>
      <w:r>
        <w:rPr>
          <w:color w:val="000000"/>
        </w:rPr>
        <w:t>(</w:t>
      </w:r>
      <w:r>
        <w:rPr>
          <w:color w:val="000000"/>
        </w:rPr>
        <w:t>三</w:t>
      </w:r>
      <w:r>
        <w:rPr>
          <w:color w:val="000000"/>
        </w:rPr>
        <w:t>)</w:t>
      </w:r>
      <w:r>
        <w:rPr>
          <w:color w:val="000000"/>
        </w:rPr>
        <w:tab/>
      </w:r>
      <w:proofErr w:type="gramStart"/>
      <w:r>
        <w:rPr>
          <w:color w:val="000000"/>
        </w:rPr>
        <w:t>以桌遊</w:t>
      </w:r>
      <w:proofErr w:type="gramEnd"/>
      <w:r>
        <w:rPr>
          <w:color w:val="000000"/>
        </w:rPr>
        <w:t>形式探討循環經濟</w:t>
      </w:r>
    </w:p>
    <w:p w:rsidR="009D051C" w:rsidRDefault="007F6DC8">
      <w:pPr>
        <w:widowControl/>
        <w:spacing w:line="440" w:lineRule="exact"/>
        <w:jc w:val="both"/>
      </w:pPr>
      <w:r>
        <w:rPr>
          <w:rFonts w:cs="Calibri"/>
          <w:noProof/>
          <w:color w:val="000000"/>
        </w:rPr>
        <w:drawing>
          <wp:anchor distT="0" distB="0" distL="114300" distR="114300" simplePos="0" relativeHeight="251659264" behindDoc="0" locked="0" layoutInCell="1" allowOverlap="1">
            <wp:simplePos x="0" y="0"/>
            <wp:positionH relativeFrom="column">
              <wp:posOffset>65407</wp:posOffset>
            </wp:positionH>
            <wp:positionV relativeFrom="paragraph">
              <wp:posOffset>733019</wp:posOffset>
            </wp:positionV>
            <wp:extent cx="5330823" cy="4001771"/>
            <wp:effectExtent l="190500" t="190500" r="193677" b="189229"/>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30823" cy="4001771"/>
                    </a:xfrm>
                    <a:prstGeom prst="rect">
                      <a:avLst/>
                    </a:prstGeom>
                    <a:solidFill>
                      <a:srgbClr val="EDEDED"/>
                    </a:solidFill>
                    <a:ln w="190496">
                      <a:solidFill>
                        <a:srgbClr val="FFFFFF"/>
                      </a:solidFill>
                      <a:prstDash val="solid"/>
                    </a:ln>
                    <a:effectLst>
                      <a:outerShdw dir="16200000" algn="tl">
                        <a:srgbClr val="000000"/>
                      </a:outerShdw>
                    </a:effectLst>
                  </pic:spPr>
                </pic:pic>
              </a:graphicData>
            </a:graphic>
          </wp:anchor>
        </w:drawing>
      </w:r>
      <w:r>
        <w:rPr>
          <w:color w:val="000000"/>
        </w:rPr>
        <w:t>(</w:t>
      </w:r>
      <w:r>
        <w:rPr>
          <w:color w:val="000000"/>
        </w:rPr>
        <w:t>四</w:t>
      </w:r>
      <w:r>
        <w:rPr>
          <w:color w:val="000000"/>
        </w:rPr>
        <w:t>)</w:t>
      </w:r>
      <w:r>
        <w:rPr>
          <w:color w:val="000000"/>
        </w:rPr>
        <w:tab/>
      </w:r>
      <w:r>
        <w:rPr>
          <w:color w:val="000000"/>
        </w:rPr>
        <w:t>透過老師的增能，理解責任消費及循環經濟議題</w:t>
      </w:r>
    </w:p>
    <w:sectPr w:rsidR="009D051C">
      <w:footerReference w:type="default" r:id="rId8"/>
      <w:pgSz w:w="11906" w:h="16838"/>
      <w:pgMar w:top="1440" w:right="1800"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DC8" w:rsidRDefault="007F6DC8">
      <w:pPr>
        <w:spacing w:line="240" w:lineRule="auto"/>
      </w:pPr>
      <w:r>
        <w:separator/>
      </w:r>
    </w:p>
  </w:endnote>
  <w:endnote w:type="continuationSeparator" w:id="0">
    <w:p w:rsidR="007F6DC8" w:rsidRDefault="007F6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206" w:rsidRDefault="007F6DC8">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537206" w:rsidRDefault="007F6D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DC8" w:rsidRDefault="007F6DC8">
      <w:pPr>
        <w:spacing w:line="240" w:lineRule="auto"/>
      </w:pPr>
      <w:r>
        <w:rPr>
          <w:color w:val="000000"/>
        </w:rPr>
        <w:separator/>
      </w:r>
    </w:p>
  </w:footnote>
  <w:footnote w:type="continuationSeparator" w:id="0">
    <w:p w:rsidR="007F6DC8" w:rsidRDefault="007F6D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881"/>
    <w:multiLevelType w:val="multilevel"/>
    <w:tmpl w:val="D14CD06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2EC10DD"/>
    <w:multiLevelType w:val="multilevel"/>
    <w:tmpl w:val="4D924D92"/>
    <w:lvl w:ilvl="0">
      <w:start w:val="1"/>
      <w:numFmt w:val="taiwaneseCountingThousand"/>
      <w:lvlText w:val="(%1)"/>
      <w:lvlJc w:val="left"/>
      <w:pPr>
        <w:ind w:left="960" w:hanging="480"/>
      </w:pPr>
      <w:rPr>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60335E4"/>
    <w:multiLevelType w:val="multilevel"/>
    <w:tmpl w:val="48E8632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7354E38"/>
    <w:multiLevelType w:val="multilevel"/>
    <w:tmpl w:val="0248C07A"/>
    <w:lvl w:ilvl="0">
      <w:start w:val="1"/>
      <w:numFmt w:val="taiwaneseCountingThousand"/>
      <w:lvlText w:val="(%1)"/>
      <w:lvlJc w:val="left"/>
      <w:pPr>
        <w:ind w:left="960" w:hanging="480"/>
      </w:pPr>
      <w:rPr>
        <w:b w:val="0"/>
        <w:sz w:val="24"/>
        <w:szCs w:val="24"/>
      </w:rPr>
    </w:lvl>
    <w:lvl w:ilvl="1">
      <w:start w:val="1"/>
      <w:numFmt w:val="ideographTraditional"/>
      <w:lvlText w:val="%2、"/>
      <w:lvlJc w:val="left"/>
      <w:pPr>
        <w:ind w:left="1298" w:hanging="480"/>
      </w:pPr>
    </w:lvl>
    <w:lvl w:ilvl="2">
      <w:start w:val="1"/>
      <w:numFmt w:val="lowerRoman"/>
      <w:lvlText w:val="%3."/>
      <w:lvlJc w:val="right"/>
      <w:pPr>
        <w:ind w:left="1778" w:hanging="480"/>
      </w:pPr>
    </w:lvl>
    <w:lvl w:ilvl="3">
      <w:start w:val="1"/>
      <w:numFmt w:val="decimal"/>
      <w:lvlText w:val="%4."/>
      <w:lvlJc w:val="left"/>
      <w:pPr>
        <w:ind w:left="2258" w:hanging="480"/>
      </w:pPr>
    </w:lvl>
    <w:lvl w:ilvl="4">
      <w:start w:val="1"/>
      <w:numFmt w:val="ideographTraditional"/>
      <w:lvlText w:val="%5、"/>
      <w:lvlJc w:val="left"/>
      <w:pPr>
        <w:ind w:left="2738" w:hanging="480"/>
      </w:pPr>
    </w:lvl>
    <w:lvl w:ilvl="5">
      <w:start w:val="1"/>
      <w:numFmt w:val="lowerRoman"/>
      <w:lvlText w:val="%6."/>
      <w:lvlJc w:val="right"/>
      <w:pPr>
        <w:ind w:left="3218" w:hanging="480"/>
      </w:pPr>
    </w:lvl>
    <w:lvl w:ilvl="6">
      <w:start w:val="1"/>
      <w:numFmt w:val="decimal"/>
      <w:lvlText w:val="%7."/>
      <w:lvlJc w:val="left"/>
      <w:pPr>
        <w:ind w:left="3698" w:hanging="480"/>
      </w:pPr>
    </w:lvl>
    <w:lvl w:ilvl="7">
      <w:start w:val="1"/>
      <w:numFmt w:val="ideographTraditional"/>
      <w:lvlText w:val="%8、"/>
      <w:lvlJc w:val="left"/>
      <w:pPr>
        <w:ind w:left="4178" w:hanging="480"/>
      </w:pPr>
    </w:lvl>
    <w:lvl w:ilvl="8">
      <w:start w:val="1"/>
      <w:numFmt w:val="lowerRoman"/>
      <w:lvlText w:val="%9."/>
      <w:lvlJc w:val="right"/>
      <w:pPr>
        <w:ind w:left="4658" w:hanging="480"/>
      </w:pPr>
    </w:lvl>
  </w:abstractNum>
  <w:abstractNum w:abstractNumId="4" w15:restartNumberingAfterBreak="0">
    <w:nsid w:val="2CC06E58"/>
    <w:multiLevelType w:val="multilevel"/>
    <w:tmpl w:val="04A21F60"/>
    <w:lvl w:ilvl="0">
      <w:start w:val="1"/>
      <w:numFmt w:val="taiwaneseCountingThousand"/>
      <w:lvlText w:val="(%1)"/>
      <w:lvlJc w:val="left"/>
      <w:pPr>
        <w:ind w:left="960" w:hanging="480"/>
      </w:pPr>
    </w:lvl>
    <w:lvl w:ilvl="1">
      <w:start w:val="1"/>
      <w:numFmt w:val="ideographTraditional"/>
      <w:lvlText w:val="%2、"/>
      <w:lvlJc w:val="left"/>
      <w:pPr>
        <w:ind w:left="1439" w:hanging="480"/>
      </w:pPr>
    </w:lvl>
    <w:lvl w:ilvl="2">
      <w:start w:val="1"/>
      <w:numFmt w:val="lowerRoman"/>
      <w:lvlText w:val="%3."/>
      <w:lvlJc w:val="right"/>
      <w:pPr>
        <w:ind w:left="1919" w:hanging="480"/>
      </w:pPr>
    </w:lvl>
    <w:lvl w:ilvl="3">
      <w:start w:val="1"/>
      <w:numFmt w:val="decimal"/>
      <w:lvlText w:val="%4."/>
      <w:lvlJc w:val="left"/>
      <w:pPr>
        <w:ind w:left="2399" w:hanging="480"/>
      </w:pPr>
    </w:lvl>
    <w:lvl w:ilvl="4">
      <w:start w:val="1"/>
      <w:numFmt w:val="ideographTraditional"/>
      <w:lvlText w:val="%5、"/>
      <w:lvlJc w:val="left"/>
      <w:pPr>
        <w:ind w:left="2879" w:hanging="480"/>
      </w:pPr>
    </w:lvl>
    <w:lvl w:ilvl="5">
      <w:start w:val="1"/>
      <w:numFmt w:val="lowerRoman"/>
      <w:lvlText w:val="%6."/>
      <w:lvlJc w:val="right"/>
      <w:pPr>
        <w:ind w:left="3359" w:hanging="480"/>
      </w:pPr>
    </w:lvl>
    <w:lvl w:ilvl="6">
      <w:start w:val="1"/>
      <w:numFmt w:val="decimal"/>
      <w:lvlText w:val="%7."/>
      <w:lvlJc w:val="left"/>
      <w:pPr>
        <w:ind w:left="3839" w:hanging="480"/>
      </w:pPr>
    </w:lvl>
    <w:lvl w:ilvl="7">
      <w:start w:val="1"/>
      <w:numFmt w:val="ideographTraditional"/>
      <w:lvlText w:val="%8、"/>
      <w:lvlJc w:val="left"/>
      <w:pPr>
        <w:ind w:left="4319" w:hanging="480"/>
      </w:pPr>
    </w:lvl>
    <w:lvl w:ilvl="8">
      <w:start w:val="1"/>
      <w:numFmt w:val="lowerRoman"/>
      <w:lvlText w:val="%9."/>
      <w:lvlJc w:val="right"/>
      <w:pPr>
        <w:ind w:left="4799" w:hanging="480"/>
      </w:pPr>
    </w:lvl>
  </w:abstractNum>
  <w:abstractNum w:abstractNumId="5" w15:restartNumberingAfterBreak="0">
    <w:nsid w:val="5C5C033A"/>
    <w:multiLevelType w:val="multilevel"/>
    <w:tmpl w:val="F65241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ECB5F76"/>
    <w:multiLevelType w:val="multilevel"/>
    <w:tmpl w:val="0E0C6270"/>
    <w:lvl w:ilvl="0">
      <w:start w:val="1"/>
      <w:numFmt w:val="taiwaneseCountingThousand"/>
      <w:lvlText w:val="%1、"/>
      <w:lvlJc w:val="left"/>
      <w:pPr>
        <w:ind w:left="480" w:hanging="480"/>
      </w:pPr>
      <w:rPr>
        <w:b w:val="0"/>
        <w:sz w:val="24"/>
        <w:szCs w:val="24"/>
        <w:lang w:val="en-US"/>
      </w:rPr>
    </w:lvl>
    <w:lvl w:ilvl="1">
      <w:start w:val="1"/>
      <w:numFmt w:val="taiwaneseCountingThousand"/>
      <w:lvlText w:val="（%2）"/>
      <w:lvlJc w:val="left"/>
      <w:pPr>
        <w:ind w:left="1200" w:hanging="720"/>
      </w:pPr>
      <w:rPr>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D051C"/>
    <w:rsid w:val="00616CCD"/>
    <w:rsid w:val="007F6DC8"/>
    <w:rsid w:val="009D0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279EA-EF6A-47DD-A696-B6158A1C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400" w:lineRule="exact"/>
    </w:pPr>
    <w:rPr>
      <w:rFonts w:ascii="標楷體" w:eastAsia="標楷體" w:hAnsi="標楷體" w:cs="標楷體"/>
      <w:kern w:val="0"/>
      <w:szCs w:val="24"/>
    </w:rPr>
  </w:style>
  <w:style w:type="paragraph" w:styleId="2">
    <w:name w:val="heading 2"/>
    <w:basedOn w:val="a"/>
    <w:uiPriority w:val="9"/>
    <w:semiHidden/>
    <w:unhideWhenUsed/>
    <w:qFormat/>
    <w:pPr>
      <w:widowControl/>
      <w:spacing w:before="100" w:after="100" w:line="240" w:lineRule="auto"/>
      <w:outlineLvl w:val="1"/>
    </w:pPr>
    <w:rPr>
      <w:rFonts w:ascii="新細明體" w:eastAsia="新細明體" w:hAnsi="新細明體" w:cs="新細明體"/>
      <w:b/>
      <w:bCs/>
      <w:sz w:val="36"/>
      <w:szCs w:val="36"/>
    </w:rPr>
  </w:style>
  <w:style w:type="paragraph" w:styleId="3">
    <w:name w:val="heading 3"/>
    <w:basedOn w:val="a"/>
    <w:uiPriority w:val="9"/>
    <w:semiHidden/>
    <w:unhideWhenUsed/>
    <w:qFormat/>
    <w:pPr>
      <w:widowControl/>
      <w:spacing w:before="100" w:after="100" w:line="240" w:lineRule="auto"/>
      <w:outlineLvl w:val="2"/>
    </w:pPr>
    <w:rPr>
      <w:rFonts w:ascii="新細明體" w:eastAsia="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標楷體" w:eastAsia="標楷體" w:hAnsi="標楷體" w:cs="標楷體"/>
      <w:kern w:val="0"/>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kern w:val="0"/>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kern w:val="0"/>
      <w:sz w:val="20"/>
      <w:szCs w:val="20"/>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30">
    <w:name w:val="標題 3 字元"/>
    <w:basedOn w:val="a0"/>
    <w:rPr>
      <w:rFonts w:ascii="新細明體" w:eastAsia="新細明體" w:hAnsi="新細明體" w:cs="新細明體"/>
      <w:b/>
      <w:bCs/>
      <w:kern w:val="0"/>
      <w:sz w:val="27"/>
      <w:szCs w:val="27"/>
    </w:rPr>
  </w:style>
  <w:style w:type="paragraph" w:styleId="Web">
    <w:name w:val="Normal (Web)"/>
    <w:basedOn w:val="a"/>
    <w:pPr>
      <w:widowControl/>
      <w:spacing w:before="100" w:after="100" w:line="240" w:lineRule="auto"/>
    </w:pPr>
    <w:rPr>
      <w:rFonts w:ascii="新細明體" w:eastAsia="新細明體" w:hAnsi="新細明體" w:cs="新細明體"/>
    </w:rPr>
  </w:style>
  <w:style w:type="character" w:styleId="a9">
    <w:name w:val="Strong"/>
    <w:basedOn w:val="a0"/>
    <w:rPr>
      <w:b/>
      <w:bCs/>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rFonts w:ascii="標楷體" w:eastAsia="標楷體" w:hAnsi="標楷體" w:cs="標楷體"/>
      <w:kern w:val="0"/>
      <w:szCs w:val="24"/>
    </w:rPr>
  </w:style>
  <w:style w:type="paragraph" w:styleId="ad">
    <w:name w:val="annotation subject"/>
    <w:basedOn w:val="ab"/>
    <w:next w:val="ab"/>
    <w:rPr>
      <w:b/>
      <w:bCs/>
    </w:rPr>
  </w:style>
  <w:style w:type="character" w:customStyle="1" w:styleId="ae">
    <w:name w:val="註解主旨 字元"/>
    <w:basedOn w:val="ac"/>
    <w:rPr>
      <w:rFonts w:ascii="標楷體" w:eastAsia="標楷體" w:hAnsi="標楷體" w:cs="標楷體"/>
      <w:b/>
      <w:bCs/>
      <w:kern w:val="0"/>
      <w:szCs w:val="24"/>
    </w:rPr>
  </w:style>
  <w:style w:type="paragraph" w:styleId="af">
    <w:name w:val="Revision"/>
    <w:pPr>
      <w:suppressAutoHyphens/>
    </w:pPr>
    <w:rPr>
      <w:rFonts w:ascii="標楷體" w:eastAsia="標楷體" w:hAnsi="標楷體" w:cs="標楷體"/>
      <w:kern w:val="0"/>
      <w:szCs w:val="24"/>
    </w:rPr>
  </w:style>
  <w:style w:type="paragraph" w:styleId="af0">
    <w:name w:val="Balloon Text"/>
    <w:basedOn w:val="a"/>
    <w:pPr>
      <w:spacing w:line="240" w:lineRule="auto"/>
    </w:pPr>
    <w:rPr>
      <w:rFonts w:ascii="Cambria" w:eastAsia="新細明體" w:hAnsi="Cambria" w:cs="Times New Roman"/>
      <w:sz w:val="18"/>
      <w:szCs w:val="18"/>
    </w:rPr>
  </w:style>
  <w:style w:type="character" w:customStyle="1" w:styleId="af1">
    <w:name w:val="註解方塊文字 字元"/>
    <w:basedOn w:val="a0"/>
    <w:rPr>
      <w:rFonts w:ascii="Cambria"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5A88</cp:lastModifiedBy>
  <cp:revision>2</cp:revision>
  <dcterms:created xsi:type="dcterms:W3CDTF">2023-06-19T03:37:00Z</dcterms:created>
  <dcterms:modified xsi:type="dcterms:W3CDTF">2023-06-19T03:37:00Z</dcterms:modified>
</cp:coreProperties>
</file>