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A575" w14:textId="77777777" w:rsidR="002B3C57" w:rsidRDefault="00820E57">
      <w:pPr>
        <w:jc w:val="center"/>
      </w:pPr>
      <w:proofErr w:type="gramStart"/>
      <w:r>
        <w:rPr>
          <w:rFonts w:ascii="標楷體" w:eastAsia="標楷體" w:hAnsi="標楷體"/>
          <w:b/>
          <w:bCs/>
          <w:sz w:val="32"/>
          <w:szCs w:val="32"/>
        </w:rPr>
        <w:t>臺</w:t>
      </w:r>
      <w:proofErr w:type="gramEnd"/>
      <w:r>
        <w:rPr>
          <w:rFonts w:ascii="標楷體" w:eastAsia="標楷體" w:hAnsi="標楷體"/>
          <w:b/>
          <w:bCs/>
          <w:sz w:val="32"/>
          <w:szCs w:val="32"/>
        </w:rPr>
        <w:t>南市政府教育局</w:t>
      </w:r>
      <w:r>
        <w:rPr>
          <w:rFonts w:ascii="標楷體" w:eastAsia="標楷體" w:hAnsi="標楷體"/>
          <w:b/>
          <w:sz w:val="32"/>
          <w:szCs w:val="32"/>
        </w:rPr>
        <w:t>偏遠地區學校教育資源中心</w:t>
      </w:r>
    </w:p>
    <w:p w14:paraId="41FA755C" w14:textId="77777777" w:rsidR="002B3C57" w:rsidRDefault="00820E57">
      <w:pPr>
        <w:jc w:val="center"/>
      </w:pPr>
      <w:r>
        <w:rPr>
          <w:rFonts w:ascii="標楷體" w:eastAsia="標楷體" w:hAnsi="標楷體"/>
          <w:b/>
          <w:sz w:val="32"/>
          <w:szCs w:val="32"/>
        </w:rPr>
        <w:t>設置及運作要點</w:t>
      </w:r>
    </w:p>
    <w:p w14:paraId="40752DED" w14:textId="77777777" w:rsidR="002B3C57" w:rsidRDefault="00820E57">
      <w:pPr>
        <w:pStyle w:val="a9"/>
        <w:numPr>
          <w:ilvl w:val="0"/>
          <w:numId w:val="1"/>
        </w:numPr>
        <w:overflowPunct w:val="0"/>
        <w:spacing w:line="420" w:lineRule="exact"/>
        <w:ind w:left="567" w:hanging="567"/>
      </w:pPr>
      <w:bookmarkStart w:id="0" w:name="_Hlk170810112"/>
      <w:r>
        <w:rPr>
          <w:rFonts w:ascii="標楷體" w:eastAsia="標楷體" w:hAnsi="標楷體"/>
          <w:szCs w:val="24"/>
        </w:rPr>
        <w:t>為整合偏遠地區學校與非山非市學校（以下簡稱偏非學校）教育課程及教學活動之規劃及發展，特設偏遠地區學校教育資源中心（以下簡稱</w:t>
      </w:r>
      <w:bookmarkStart w:id="1" w:name="_Hlk168315882"/>
      <w:r>
        <w:rPr>
          <w:rFonts w:ascii="標楷體" w:eastAsia="標楷體" w:hAnsi="標楷體"/>
          <w:szCs w:val="24"/>
        </w:rPr>
        <w:t>偏遠資源中心</w:t>
      </w:r>
      <w:bookmarkEnd w:id="1"/>
      <w:r>
        <w:rPr>
          <w:rFonts w:ascii="標楷體" w:eastAsia="標楷體" w:hAnsi="標楷體"/>
          <w:szCs w:val="24"/>
        </w:rPr>
        <w:t>），</w:t>
      </w:r>
      <w:r>
        <w:rPr>
          <w:rFonts w:ascii="標楷體" w:eastAsia="標楷體" w:hAnsi="標楷體"/>
          <w:kern w:val="0"/>
          <w:szCs w:val="24"/>
        </w:rPr>
        <w:t>且為規範</w:t>
      </w:r>
      <w:r>
        <w:rPr>
          <w:rFonts w:ascii="標楷體" w:eastAsia="標楷體" w:hAnsi="標楷體"/>
          <w:szCs w:val="24"/>
        </w:rPr>
        <w:t>偏遠資源</w:t>
      </w:r>
      <w:r>
        <w:rPr>
          <w:rFonts w:ascii="標楷體" w:eastAsia="標楷體" w:hAnsi="標楷體"/>
          <w:kern w:val="0"/>
          <w:szCs w:val="24"/>
        </w:rPr>
        <w:t>中心之組成及運作，並依</w:t>
      </w:r>
      <w:r>
        <w:rPr>
          <w:rFonts w:ascii="標楷體" w:eastAsia="標楷體" w:hAnsi="標楷體"/>
          <w:szCs w:val="24"/>
        </w:rPr>
        <w:t>教育部國民及學前教育署補助</w:t>
      </w:r>
      <w:r>
        <w:rPr>
          <w:rFonts w:ascii="標楷體" w:eastAsia="標楷體" w:hAnsi="標楷體" w:cs="TW-Kai-98_1"/>
          <w:kern w:val="0"/>
          <w:szCs w:val="24"/>
        </w:rPr>
        <w:t>偏遠地區學校及非山非市學校教育經費作業要點</w:t>
      </w:r>
      <w:r>
        <w:rPr>
          <w:rFonts w:ascii="標楷體" w:eastAsia="標楷體" w:hAnsi="標楷體"/>
          <w:szCs w:val="24"/>
        </w:rPr>
        <w:t>及國民教育及特殊教育輔導團與中心組織運作辦法（以下簡稱運作辦法）第十條第一項規定，訂定本要點。</w:t>
      </w:r>
      <w:bookmarkEnd w:id="0"/>
    </w:p>
    <w:p w14:paraId="6A6FBF54" w14:textId="77777777" w:rsidR="002B3C57" w:rsidRDefault="00820E57">
      <w:pPr>
        <w:pStyle w:val="a9"/>
        <w:numPr>
          <w:ilvl w:val="0"/>
          <w:numId w:val="1"/>
        </w:numPr>
        <w:overflowPunct w:val="0"/>
        <w:spacing w:line="420" w:lineRule="exact"/>
        <w:ind w:left="567" w:hanging="567"/>
      </w:pPr>
      <w:r>
        <w:rPr>
          <w:rFonts w:ascii="標楷體" w:eastAsia="標楷體" w:hAnsi="標楷體"/>
        </w:rPr>
        <w:t>偏遠資源</w:t>
      </w:r>
      <w:r>
        <w:rPr>
          <w:rFonts w:ascii="標楷體" w:eastAsia="標楷體" w:hAnsi="標楷體"/>
          <w:szCs w:val="24"/>
        </w:rPr>
        <w:t>中心任務如下：</w:t>
      </w:r>
    </w:p>
    <w:p w14:paraId="5C0BD860" w14:textId="77777777" w:rsidR="002B3C57" w:rsidRDefault="00820E57">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協助本</w:t>
      </w:r>
      <w:proofErr w:type="gramStart"/>
      <w:r>
        <w:rPr>
          <w:rFonts w:ascii="標楷體" w:eastAsia="標楷體" w:hAnsi="標楷體"/>
          <w:szCs w:val="24"/>
        </w:rPr>
        <w:t>市偏非</w:t>
      </w:r>
      <w:proofErr w:type="gramEnd"/>
      <w:r>
        <w:rPr>
          <w:rFonts w:ascii="標楷體" w:eastAsia="標楷體" w:hAnsi="標楷體"/>
          <w:szCs w:val="24"/>
        </w:rPr>
        <w:t>學校親職教育。</w:t>
      </w:r>
    </w:p>
    <w:p w14:paraId="4D78B311" w14:textId="77777777" w:rsidR="002B3C57" w:rsidRDefault="00820E57">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追蹤專案評估停辦學校學生學習適應情形。</w:t>
      </w:r>
    </w:p>
    <w:p w14:paraId="2A7A6500" w14:textId="77777777" w:rsidR="002B3C57" w:rsidRDefault="00820E57">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協助本</w:t>
      </w:r>
      <w:proofErr w:type="gramStart"/>
      <w:r>
        <w:rPr>
          <w:rFonts w:ascii="標楷體" w:eastAsia="標楷體" w:hAnsi="標楷體"/>
          <w:szCs w:val="24"/>
        </w:rPr>
        <w:t>市偏非</w:t>
      </w:r>
      <w:proofErr w:type="gramEnd"/>
      <w:r>
        <w:rPr>
          <w:rFonts w:ascii="標楷體" w:eastAsia="標楷體" w:hAnsi="標楷體"/>
          <w:szCs w:val="24"/>
        </w:rPr>
        <w:t>學校學力提升。</w:t>
      </w:r>
    </w:p>
    <w:p w14:paraId="348171F7" w14:textId="77777777" w:rsidR="002B3C57" w:rsidRDefault="00820E57">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組織數位學習輔導團協助到校輔導。</w:t>
      </w:r>
    </w:p>
    <w:p w14:paraId="64FDD6B6" w14:textId="77777777" w:rsidR="002B3C57" w:rsidRDefault="00820E57">
      <w:pPr>
        <w:pStyle w:val="a9"/>
        <w:numPr>
          <w:ilvl w:val="0"/>
          <w:numId w:val="2"/>
        </w:numPr>
        <w:ind w:hanging="338"/>
        <w:jc w:val="both"/>
        <w:rPr>
          <w:rFonts w:ascii="標楷體" w:eastAsia="標楷體" w:hAnsi="標楷體"/>
          <w:szCs w:val="24"/>
        </w:rPr>
      </w:pPr>
      <w:r>
        <w:rPr>
          <w:rFonts w:ascii="標楷體" w:eastAsia="標楷體" w:hAnsi="標楷體"/>
          <w:szCs w:val="24"/>
        </w:rPr>
        <w:t>辦理本</w:t>
      </w:r>
      <w:proofErr w:type="gramStart"/>
      <w:r>
        <w:rPr>
          <w:rFonts w:ascii="標楷體" w:eastAsia="標楷體" w:hAnsi="標楷體"/>
          <w:szCs w:val="24"/>
        </w:rPr>
        <w:t>市偏非</w:t>
      </w:r>
      <w:proofErr w:type="gramEnd"/>
      <w:r>
        <w:rPr>
          <w:rFonts w:ascii="標楷體" w:eastAsia="標楷體" w:hAnsi="標楷體"/>
          <w:szCs w:val="24"/>
        </w:rPr>
        <w:t>學校平板借用及分配事宜。</w:t>
      </w:r>
    </w:p>
    <w:p w14:paraId="7922F6FB" w14:textId="77777777" w:rsidR="002B3C57" w:rsidRDefault="00820E57">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蒐集本</w:t>
      </w:r>
      <w:proofErr w:type="gramStart"/>
      <w:r>
        <w:rPr>
          <w:rFonts w:ascii="標楷體" w:eastAsia="標楷體" w:hAnsi="標楷體"/>
          <w:szCs w:val="24"/>
        </w:rPr>
        <w:t>市偏非</w:t>
      </w:r>
      <w:proofErr w:type="gramEnd"/>
      <w:r>
        <w:rPr>
          <w:rFonts w:ascii="標楷體" w:eastAsia="標楷體" w:hAnsi="標楷體"/>
          <w:szCs w:val="24"/>
        </w:rPr>
        <w:t>學校之相關問題資料及其研究。</w:t>
      </w:r>
    </w:p>
    <w:p w14:paraId="4D69E67B" w14:textId="77777777" w:rsidR="002B3C57" w:rsidRDefault="00820E57">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數位平台融入課中分組差異化教學之知能提升。</w:t>
      </w:r>
    </w:p>
    <w:p w14:paraId="72BBDAB7" w14:textId="77777777" w:rsidR="002B3C57" w:rsidRDefault="00820E57">
      <w:pPr>
        <w:pStyle w:val="a9"/>
        <w:numPr>
          <w:ilvl w:val="0"/>
          <w:numId w:val="2"/>
        </w:numPr>
        <w:ind w:hanging="338"/>
        <w:jc w:val="both"/>
        <w:rPr>
          <w:rFonts w:ascii="標楷體" w:eastAsia="標楷體" w:hAnsi="標楷體"/>
          <w:szCs w:val="24"/>
        </w:rPr>
      </w:pPr>
      <w:r>
        <w:rPr>
          <w:rFonts w:ascii="標楷體" w:eastAsia="標楷體" w:hAnsi="標楷體"/>
          <w:szCs w:val="24"/>
        </w:rPr>
        <w:t>辦理其他有助於本</w:t>
      </w:r>
      <w:proofErr w:type="gramStart"/>
      <w:r>
        <w:rPr>
          <w:rFonts w:ascii="標楷體" w:eastAsia="標楷體" w:hAnsi="標楷體"/>
          <w:szCs w:val="24"/>
        </w:rPr>
        <w:t>市偏非</w:t>
      </w:r>
      <w:proofErr w:type="gramEnd"/>
      <w:r>
        <w:rPr>
          <w:rFonts w:ascii="標楷體" w:eastAsia="標楷體" w:hAnsi="標楷體"/>
          <w:szCs w:val="24"/>
        </w:rPr>
        <w:t>學校之相關措施。</w:t>
      </w:r>
    </w:p>
    <w:p w14:paraId="2BC29D1C" w14:textId="77777777" w:rsidR="002B3C57" w:rsidRDefault="00820E57">
      <w:pPr>
        <w:pStyle w:val="a9"/>
        <w:numPr>
          <w:ilvl w:val="0"/>
          <w:numId w:val="3"/>
        </w:numPr>
        <w:ind w:left="567" w:hanging="622"/>
        <w:jc w:val="both"/>
        <w:rPr>
          <w:rFonts w:ascii="標楷體" w:eastAsia="標楷體" w:hAnsi="標楷體"/>
          <w:szCs w:val="24"/>
        </w:rPr>
      </w:pPr>
      <w:r>
        <w:rPr>
          <w:rFonts w:ascii="標楷體" w:eastAsia="標楷體" w:hAnsi="標楷體"/>
          <w:szCs w:val="24"/>
        </w:rPr>
        <w:t>偏遠資源中心人員配置如下：</w:t>
      </w:r>
    </w:p>
    <w:p w14:paraId="6412141C" w14:textId="77777777" w:rsidR="002B3C57" w:rsidRDefault="00820E57">
      <w:pPr>
        <w:pStyle w:val="a9"/>
        <w:numPr>
          <w:ilvl w:val="0"/>
          <w:numId w:val="4"/>
        </w:numPr>
        <w:ind w:left="709" w:hanging="567"/>
        <w:jc w:val="both"/>
      </w:pPr>
      <w:r>
        <w:rPr>
          <w:rFonts w:ascii="標楷體" w:eastAsia="標楷體" w:hAnsi="標楷體"/>
          <w:szCs w:val="24"/>
        </w:rPr>
        <w:t>總召集人一人，由本</w:t>
      </w:r>
      <w:r>
        <w:rPr>
          <w:rFonts w:ascii="標楷體" w:eastAsia="標楷體" w:hAnsi="標楷體"/>
          <w:bCs/>
          <w:kern w:val="0"/>
          <w:szCs w:val="24"/>
        </w:rPr>
        <w:t>局</w:t>
      </w:r>
      <w:r>
        <w:rPr>
          <w:rFonts w:ascii="標楷體" w:eastAsia="標楷體" w:hAnsi="標楷體"/>
          <w:szCs w:val="24"/>
        </w:rPr>
        <w:t>指派督學兼任，綜理</w:t>
      </w:r>
      <w:r>
        <w:rPr>
          <w:rFonts w:ascii="標楷體" w:eastAsia="標楷體" w:hAnsi="標楷體"/>
          <w:bCs/>
          <w:kern w:val="0"/>
          <w:szCs w:val="24"/>
        </w:rPr>
        <w:t>督導</w:t>
      </w:r>
      <w:r>
        <w:rPr>
          <w:rFonts w:ascii="標楷體" w:eastAsia="標楷體" w:hAnsi="標楷體"/>
          <w:szCs w:val="24"/>
        </w:rPr>
        <w:t>偏遠資源中心業務。</w:t>
      </w:r>
    </w:p>
    <w:p w14:paraId="249A6751" w14:textId="77777777" w:rsidR="002B3C57" w:rsidRDefault="00820E57">
      <w:pPr>
        <w:pStyle w:val="a9"/>
        <w:numPr>
          <w:ilvl w:val="0"/>
          <w:numId w:val="4"/>
        </w:numPr>
        <w:ind w:left="709" w:hanging="567"/>
        <w:jc w:val="both"/>
      </w:pPr>
      <w:r>
        <w:rPr>
          <w:rFonts w:ascii="標楷體" w:eastAsia="標楷體" w:hAnsi="標楷體"/>
          <w:bCs/>
          <w:kern w:val="0"/>
          <w:szCs w:val="24"/>
        </w:rPr>
        <w:t>召集人一人，由本局</w:t>
      </w:r>
      <w:proofErr w:type="gramStart"/>
      <w:r>
        <w:rPr>
          <w:rFonts w:ascii="標楷體" w:eastAsia="標楷體" w:hAnsi="標楷體"/>
          <w:bCs/>
          <w:kern w:val="0"/>
          <w:szCs w:val="24"/>
        </w:rPr>
        <w:t>遴派具偏非</w:t>
      </w:r>
      <w:proofErr w:type="gramEnd"/>
      <w:r>
        <w:rPr>
          <w:rFonts w:ascii="標楷體" w:eastAsia="標楷體" w:hAnsi="標楷體"/>
          <w:bCs/>
          <w:kern w:val="0"/>
          <w:szCs w:val="24"/>
        </w:rPr>
        <w:t>學校教育實務經驗專長之所屬學校校長兼任，統籌偏遠資源中心各項業務。</w:t>
      </w:r>
    </w:p>
    <w:p w14:paraId="527A4C8A" w14:textId="77777777" w:rsidR="002B3C57" w:rsidRDefault="00820E57">
      <w:pPr>
        <w:pStyle w:val="a9"/>
        <w:numPr>
          <w:ilvl w:val="0"/>
          <w:numId w:val="4"/>
        </w:numPr>
        <w:ind w:left="709" w:hanging="567"/>
        <w:jc w:val="both"/>
      </w:pPr>
      <w:r>
        <w:rPr>
          <w:rFonts w:ascii="標楷體" w:eastAsia="標楷體" w:hAnsi="標楷體"/>
          <w:bCs/>
          <w:kern w:val="0"/>
          <w:szCs w:val="24"/>
        </w:rPr>
        <w:t>副召集人一人至二人，由本局</w:t>
      </w:r>
      <w:proofErr w:type="gramStart"/>
      <w:r>
        <w:rPr>
          <w:rFonts w:ascii="標楷體" w:eastAsia="標楷體" w:hAnsi="標楷體"/>
          <w:bCs/>
          <w:kern w:val="0"/>
          <w:szCs w:val="24"/>
        </w:rPr>
        <w:t>遴派具偏非</w:t>
      </w:r>
      <w:proofErr w:type="gramEnd"/>
      <w:r>
        <w:rPr>
          <w:rFonts w:ascii="標楷體" w:eastAsia="標楷體" w:hAnsi="標楷體"/>
          <w:bCs/>
          <w:kern w:val="0"/>
          <w:szCs w:val="24"/>
        </w:rPr>
        <w:t>學校教育實務經驗專長之所屬學校校長或專業工作人員兼任，襄助召集人推動業務。</w:t>
      </w:r>
    </w:p>
    <w:p w14:paraId="38D73A3A" w14:textId="77777777" w:rsidR="002B3C57" w:rsidRDefault="00820E57">
      <w:pPr>
        <w:pStyle w:val="a9"/>
        <w:numPr>
          <w:ilvl w:val="0"/>
          <w:numId w:val="4"/>
        </w:numPr>
        <w:overflowPunct w:val="0"/>
        <w:ind w:left="709" w:hanging="573"/>
        <w:jc w:val="both"/>
      </w:pPr>
      <w:r>
        <w:rPr>
          <w:rFonts w:ascii="標楷體" w:eastAsia="標楷體" w:hAnsi="標楷體"/>
          <w:bCs/>
          <w:kern w:val="0"/>
          <w:szCs w:val="24"/>
        </w:rPr>
        <w:t>諮詢人員數人，由本局</w:t>
      </w:r>
      <w:proofErr w:type="gramStart"/>
      <w:r>
        <w:rPr>
          <w:rFonts w:ascii="標楷體" w:eastAsia="標楷體" w:hAnsi="標楷體"/>
          <w:bCs/>
          <w:kern w:val="0"/>
          <w:szCs w:val="24"/>
        </w:rPr>
        <w:t>遴聘具偏非</w:t>
      </w:r>
      <w:proofErr w:type="gramEnd"/>
      <w:r>
        <w:rPr>
          <w:rFonts w:ascii="標楷體" w:eastAsia="標楷體" w:hAnsi="標楷體"/>
          <w:bCs/>
          <w:kern w:val="0"/>
          <w:szCs w:val="24"/>
        </w:rPr>
        <w:t>學校教育實務經驗專長能力之學者專家，或兼具相關證照及實務經驗者兼任</w:t>
      </w:r>
      <w:r>
        <w:rPr>
          <w:rFonts w:ascii="標楷體" w:eastAsia="標楷體" w:hAnsi="標楷體"/>
          <w:szCs w:val="24"/>
        </w:rPr>
        <w:t>，提供相關業務諮詢</w:t>
      </w:r>
      <w:r>
        <w:rPr>
          <w:rFonts w:ascii="標楷體" w:eastAsia="標楷體" w:hAnsi="標楷體"/>
          <w:bCs/>
          <w:kern w:val="0"/>
          <w:szCs w:val="24"/>
        </w:rPr>
        <w:t>。</w:t>
      </w:r>
    </w:p>
    <w:p w14:paraId="33E192B8" w14:textId="77777777" w:rsidR="002B3C57" w:rsidRDefault="00820E57">
      <w:pPr>
        <w:pStyle w:val="a9"/>
        <w:numPr>
          <w:ilvl w:val="0"/>
          <w:numId w:val="4"/>
        </w:numPr>
        <w:overflowPunct w:val="0"/>
        <w:autoSpaceDE w:val="0"/>
        <w:snapToGrid w:val="0"/>
        <w:ind w:left="709" w:hanging="573"/>
        <w:jc w:val="both"/>
        <w:rPr>
          <w:rFonts w:ascii="標楷體" w:eastAsia="標楷體" w:hAnsi="標楷體"/>
          <w:bCs/>
          <w:kern w:val="0"/>
          <w:szCs w:val="24"/>
        </w:rPr>
      </w:pPr>
      <w:r>
        <w:rPr>
          <w:rFonts w:ascii="標楷體" w:eastAsia="標楷體" w:hAnsi="標楷體"/>
          <w:bCs/>
          <w:kern w:val="0"/>
          <w:szCs w:val="24"/>
        </w:rPr>
        <w:t>專業工作人員數人，由本局</w:t>
      </w:r>
      <w:proofErr w:type="gramStart"/>
      <w:r>
        <w:rPr>
          <w:rFonts w:ascii="標楷體" w:eastAsia="標楷體" w:hAnsi="標楷體"/>
          <w:bCs/>
          <w:kern w:val="0"/>
          <w:szCs w:val="24"/>
        </w:rPr>
        <w:t>遴派具偏非</w:t>
      </w:r>
      <w:proofErr w:type="gramEnd"/>
      <w:r>
        <w:rPr>
          <w:rFonts w:ascii="標楷體" w:eastAsia="標楷體" w:hAnsi="標楷體"/>
          <w:bCs/>
          <w:kern w:val="0"/>
          <w:szCs w:val="24"/>
        </w:rPr>
        <w:t>學校教育實務經驗專長能力之編制內正式教師兼任，承辦偏遠資源中心相關業務。</w:t>
      </w:r>
    </w:p>
    <w:p w14:paraId="6FC679E7" w14:textId="77777777" w:rsidR="002B3C57" w:rsidRDefault="00820E57">
      <w:pPr>
        <w:pStyle w:val="a9"/>
        <w:numPr>
          <w:ilvl w:val="0"/>
          <w:numId w:val="4"/>
        </w:numPr>
        <w:overflowPunct w:val="0"/>
        <w:ind w:left="709" w:hanging="573"/>
        <w:jc w:val="both"/>
      </w:pPr>
      <w:r>
        <w:rPr>
          <w:rFonts w:ascii="標楷體" w:eastAsia="標楷體" w:hAnsi="標楷體"/>
          <w:bCs/>
          <w:kern w:val="0"/>
          <w:szCs w:val="24"/>
        </w:rPr>
        <w:t>工作人員一人至三人，由承辦偏遠資源中心之學校指派所屬人員兼任，協助辦理偏遠資源中心各項業務。</w:t>
      </w:r>
    </w:p>
    <w:p w14:paraId="2C3F83B0" w14:textId="77777777" w:rsidR="002B3C57" w:rsidRDefault="00820E57">
      <w:pPr>
        <w:pStyle w:val="a9"/>
        <w:overflowPunct w:val="0"/>
        <w:ind w:left="708" w:firstLine="480"/>
        <w:jc w:val="both"/>
      </w:pPr>
      <w:r>
        <w:rPr>
          <w:rFonts w:ascii="標楷體" w:eastAsia="標楷體" w:hAnsi="標楷體"/>
          <w:bCs/>
          <w:kern w:val="0"/>
          <w:szCs w:val="24"/>
        </w:rPr>
        <w:t>前項人員任期一年，除總召集人及諮詢人員免經考核外，經本局考核分數達八十分以上者，得續聘（派）兼之。但於兼任期間有因故不能兼任、工作不力或違反相關法規情形者，本局得隨時改派其他人員兼任。</w:t>
      </w:r>
    </w:p>
    <w:p w14:paraId="1BABB8A7" w14:textId="77777777" w:rsidR="002B3C57" w:rsidRDefault="00820E57">
      <w:pPr>
        <w:pStyle w:val="a9"/>
        <w:numPr>
          <w:ilvl w:val="0"/>
          <w:numId w:val="5"/>
        </w:numPr>
        <w:ind w:left="567" w:hanging="567"/>
      </w:pPr>
      <w:r>
        <w:rPr>
          <w:rFonts w:ascii="標楷體" w:eastAsia="標楷體" w:hAnsi="標楷體"/>
        </w:rPr>
        <w:lastRenderedPageBreak/>
        <w:t>偏遠</w:t>
      </w:r>
      <w:r>
        <w:rPr>
          <w:rFonts w:ascii="標楷體" w:eastAsia="標楷體" w:hAnsi="標楷體"/>
          <w:szCs w:val="24"/>
        </w:rPr>
        <w:t>資源中心人員</w:t>
      </w:r>
      <w:r>
        <w:rPr>
          <w:rFonts w:ascii="標楷體" w:eastAsia="標楷體" w:hAnsi="標楷體"/>
          <w:bCs/>
          <w:kern w:val="0"/>
          <w:szCs w:val="24"/>
        </w:rPr>
        <w:t>之</w:t>
      </w:r>
      <w:proofErr w:type="gramStart"/>
      <w:r>
        <w:rPr>
          <w:rFonts w:ascii="標楷體" w:eastAsia="標楷體" w:hAnsi="標楷體"/>
          <w:bCs/>
          <w:kern w:val="0"/>
          <w:szCs w:val="24"/>
        </w:rPr>
        <w:t>遴</w:t>
      </w:r>
      <w:proofErr w:type="gramEnd"/>
      <w:r>
        <w:rPr>
          <w:rFonts w:ascii="標楷體" w:eastAsia="標楷體" w:hAnsi="標楷體"/>
          <w:bCs/>
          <w:kern w:val="0"/>
          <w:szCs w:val="24"/>
        </w:rPr>
        <w:t>聘</w:t>
      </w:r>
      <w:r>
        <w:rPr>
          <w:rFonts w:ascii="標楷體" w:eastAsia="標楷體" w:hAnsi="標楷體"/>
          <w:bCs/>
          <w:kern w:val="0"/>
          <w:szCs w:val="24"/>
        </w:rPr>
        <w:t>(</w:t>
      </w:r>
      <w:r>
        <w:rPr>
          <w:rFonts w:ascii="標楷體" w:eastAsia="標楷體" w:hAnsi="標楷體"/>
          <w:bCs/>
          <w:kern w:val="0"/>
          <w:szCs w:val="24"/>
        </w:rPr>
        <w:t>派</w:t>
      </w:r>
      <w:r>
        <w:rPr>
          <w:rFonts w:ascii="標楷體" w:eastAsia="標楷體" w:hAnsi="標楷體"/>
          <w:bCs/>
          <w:kern w:val="0"/>
          <w:szCs w:val="24"/>
        </w:rPr>
        <w:t>)</w:t>
      </w:r>
      <w:r>
        <w:rPr>
          <w:rFonts w:ascii="標楷體" w:eastAsia="標楷體" w:hAnsi="標楷體"/>
          <w:bCs/>
          <w:kern w:val="0"/>
          <w:szCs w:val="24"/>
        </w:rPr>
        <w:t>應依下列規定辦理：</w:t>
      </w:r>
    </w:p>
    <w:p w14:paraId="25D79D9C" w14:textId="77777777" w:rsidR="002B3C57" w:rsidRDefault="00820E57">
      <w:pPr>
        <w:pStyle w:val="a9"/>
        <w:numPr>
          <w:ilvl w:val="0"/>
          <w:numId w:val="6"/>
        </w:numPr>
        <w:ind w:left="567" w:hanging="425"/>
      </w:pPr>
      <w:r>
        <w:rPr>
          <w:rFonts w:ascii="標楷體" w:eastAsia="標楷體" w:hAnsi="標楷體"/>
          <w:bCs/>
          <w:kern w:val="0"/>
          <w:szCs w:val="24"/>
        </w:rPr>
        <w:t>召集人與副召集人：由本局依運作辦法第十二條第一項及第二項規定</w:t>
      </w:r>
      <w:proofErr w:type="gramStart"/>
      <w:r>
        <w:rPr>
          <w:rFonts w:ascii="標楷體" w:eastAsia="標楷體" w:hAnsi="標楷體"/>
          <w:bCs/>
          <w:kern w:val="0"/>
          <w:szCs w:val="24"/>
        </w:rPr>
        <w:t>遴</w:t>
      </w:r>
      <w:proofErr w:type="gramEnd"/>
      <w:r>
        <w:rPr>
          <w:rFonts w:ascii="標楷體" w:eastAsia="標楷體" w:hAnsi="標楷體"/>
          <w:bCs/>
          <w:kern w:val="0"/>
          <w:szCs w:val="24"/>
        </w:rPr>
        <w:t>派。</w:t>
      </w:r>
    </w:p>
    <w:p w14:paraId="5BC63353" w14:textId="77777777" w:rsidR="002B3C57" w:rsidRDefault="00820E57">
      <w:pPr>
        <w:pStyle w:val="a9"/>
        <w:numPr>
          <w:ilvl w:val="0"/>
          <w:numId w:val="6"/>
        </w:numPr>
        <w:tabs>
          <w:tab w:val="left" w:pos="284"/>
        </w:tabs>
        <w:ind w:left="709" w:hanging="567"/>
      </w:pPr>
      <w:r>
        <w:rPr>
          <w:rFonts w:ascii="標楷體" w:eastAsia="標楷體" w:hAnsi="標楷體"/>
          <w:bCs/>
          <w:kern w:val="0"/>
          <w:szCs w:val="24"/>
        </w:rPr>
        <w:t>專業工作</w:t>
      </w:r>
      <w:r>
        <w:rPr>
          <w:rFonts w:ascii="標楷體" w:eastAsia="標楷體" w:hAnsi="標楷體"/>
          <w:bCs/>
          <w:kern w:val="0"/>
          <w:szCs w:val="24"/>
        </w:rPr>
        <w:t>人員：由本局組成遴選小組公開遴選具下列條件者兼任：</w:t>
      </w:r>
    </w:p>
    <w:p w14:paraId="5DABE632" w14:textId="77777777" w:rsidR="002B3C57" w:rsidRDefault="00820E57">
      <w:pPr>
        <w:pStyle w:val="a9"/>
        <w:numPr>
          <w:ilvl w:val="0"/>
          <w:numId w:val="7"/>
        </w:numPr>
        <w:ind w:left="993" w:hanging="340"/>
      </w:pPr>
      <w:r>
        <w:rPr>
          <w:rFonts w:ascii="標楷體" w:eastAsia="標楷體" w:hAnsi="標楷體"/>
          <w:bCs/>
          <w:kern w:val="0"/>
          <w:szCs w:val="24"/>
        </w:rPr>
        <w:t>本局所屬學校編制內正式教師。</w:t>
      </w:r>
    </w:p>
    <w:p w14:paraId="26AAED59" w14:textId="77777777" w:rsidR="002B3C57" w:rsidRDefault="00820E57">
      <w:pPr>
        <w:pStyle w:val="a9"/>
        <w:numPr>
          <w:ilvl w:val="0"/>
          <w:numId w:val="7"/>
        </w:numPr>
        <w:ind w:left="993" w:hanging="340"/>
      </w:pPr>
      <w:proofErr w:type="gramStart"/>
      <w:r>
        <w:rPr>
          <w:rFonts w:ascii="標楷體" w:eastAsia="標楷體" w:hAnsi="標楷體"/>
          <w:szCs w:val="24"/>
        </w:rPr>
        <w:t>具備偏非學校</w:t>
      </w:r>
      <w:proofErr w:type="gramEnd"/>
      <w:r>
        <w:rPr>
          <w:rFonts w:ascii="標楷體" w:eastAsia="標楷體" w:hAnsi="標楷體"/>
          <w:szCs w:val="24"/>
        </w:rPr>
        <w:t>教育專業者。</w:t>
      </w:r>
    </w:p>
    <w:p w14:paraId="0660395D" w14:textId="77777777" w:rsidR="002B3C57" w:rsidRDefault="00820E57">
      <w:pPr>
        <w:pStyle w:val="a9"/>
        <w:numPr>
          <w:ilvl w:val="0"/>
          <w:numId w:val="7"/>
        </w:numPr>
        <w:ind w:left="993" w:hanging="340"/>
        <w:rPr>
          <w:rFonts w:ascii="標楷體" w:eastAsia="標楷體" w:hAnsi="標楷體"/>
          <w:szCs w:val="24"/>
        </w:rPr>
      </w:pPr>
      <w:r>
        <w:rPr>
          <w:rFonts w:ascii="標楷體" w:eastAsia="標楷體" w:hAnsi="標楷體"/>
          <w:szCs w:val="24"/>
        </w:rPr>
        <w:t>其他本局所定資格。</w:t>
      </w:r>
    </w:p>
    <w:p w14:paraId="348569F2" w14:textId="77777777" w:rsidR="002B3C57" w:rsidRDefault="00820E57">
      <w:pPr>
        <w:ind w:firstLine="12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諮詢人員：由本局依運作辦法第十二條第三項規定</w:t>
      </w:r>
      <w:proofErr w:type="gramStart"/>
      <w:r>
        <w:rPr>
          <w:rFonts w:ascii="標楷體" w:eastAsia="標楷體" w:hAnsi="標楷體"/>
          <w:szCs w:val="24"/>
        </w:rPr>
        <w:t>遴</w:t>
      </w:r>
      <w:proofErr w:type="gramEnd"/>
      <w:r>
        <w:rPr>
          <w:rFonts w:ascii="標楷體" w:eastAsia="標楷體" w:hAnsi="標楷體"/>
          <w:szCs w:val="24"/>
        </w:rPr>
        <w:t>聘。</w:t>
      </w:r>
    </w:p>
    <w:p w14:paraId="7D3E357D" w14:textId="77777777" w:rsidR="002B3C57" w:rsidRDefault="00820E57">
      <w:pPr>
        <w:ind w:firstLine="120"/>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bCs/>
          <w:kern w:val="0"/>
          <w:szCs w:val="24"/>
        </w:rPr>
        <w:t>工作人員：由承辦偏遠資源中心之學校依規定進用。</w:t>
      </w:r>
    </w:p>
    <w:p w14:paraId="5696EEAD" w14:textId="77777777" w:rsidR="002B3C57" w:rsidRDefault="00820E57">
      <w:pPr>
        <w:overflowPunct w:val="0"/>
        <w:ind w:left="653" w:firstLine="338"/>
        <w:jc w:val="both"/>
      </w:pPr>
      <w:r>
        <w:rPr>
          <w:rFonts w:ascii="標楷體" w:eastAsia="標楷體" w:hAnsi="標楷體"/>
          <w:bCs/>
          <w:kern w:val="0"/>
          <w:szCs w:val="24"/>
        </w:rPr>
        <w:t>前項所定公開遴選之程序及期程等事項，應依本局公告之簡章辦理。</w:t>
      </w:r>
    </w:p>
    <w:p w14:paraId="774F3CD5" w14:textId="77777777" w:rsidR="002B3C57" w:rsidRDefault="00820E57">
      <w:pPr>
        <w:pStyle w:val="a9"/>
        <w:numPr>
          <w:ilvl w:val="0"/>
          <w:numId w:val="5"/>
        </w:numPr>
        <w:ind w:left="567" w:hanging="567"/>
        <w:jc w:val="both"/>
      </w:pPr>
      <w:r>
        <w:rPr>
          <w:rFonts w:ascii="標楷體" w:eastAsia="標楷體" w:hAnsi="標楷體"/>
          <w:bCs/>
          <w:kern w:val="0"/>
          <w:szCs w:val="24"/>
        </w:rPr>
        <w:t>偏遠資源中心應每學期至少召開二次定期工作會議，由總召集人召集並擔任主席；總召集人因故未能出席時，由總召集人指派召集人或副召集人代理。</w:t>
      </w:r>
    </w:p>
    <w:p w14:paraId="35DDBD5A" w14:textId="77777777" w:rsidR="002B3C57" w:rsidRDefault="00820E57">
      <w:pPr>
        <w:overflowPunct w:val="0"/>
        <w:autoSpaceDE w:val="0"/>
        <w:snapToGrid w:val="0"/>
        <w:ind w:left="480" w:firstLine="480"/>
        <w:jc w:val="both"/>
        <w:rPr>
          <w:rFonts w:ascii="標楷體" w:eastAsia="標楷體" w:hAnsi="標楷體"/>
          <w:bCs/>
          <w:kern w:val="0"/>
          <w:szCs w:val="24"/>
        </w:rPr>
      </w:pPr>
      <w:r>
        <w:rPr>
          <w:rFonts w:ascii="標楷體" w:eastAsia="標楷體" w:hAnsi="標楷體"/>
          <w:bCs/>
          <w:kern w:val="0"/>
          <w:szCs w:val="24"/>
        </w:rPr>
        <w:t>偏遠資源中心應擬定學年度工作計畫，並於補助計畫申請期程開始前二</w:t>
      </w:r>
      <w:proofErr w:type="gramStart"/>
      <w:r>
        <w:rPr>
          <w:rFonts w:ascii="標楷體" w:eastAsia="標楷體" w:hAnsi="標楷體"/>
          <w:bCs/>
          <w:kern w:val="0"/>
          <w:szCs w:val="24"/>
        </w:rPr>
        <w:t>個</w:t>
      </w:r>
      <w:proofErr w:type="gramEnd"/>
      <w:r>
        <w:rPr>
          <w:rFonts w:ascii="標楷體" w:eastAsia="標楷體" w:hAnsi="標楷體"/>
          <w:bCs/>
          <w:kern w:val="0"/>
          <w:szCs w:val="24"/>
        </w:rPr>
        <w:t>月內報本局審查。</w:t>
      </w:r>
    </w:p>
    <w:p w14:paraId="16B5F6D8" w14:textId="77777777" w:rsidR="002B3C57" w:rsidRDefault="00820E57">
      <w:pPr>
        <w:overflowPunct w:val="0"/>
        <w:autoSpaceDE w:val="0"/>
        <w:snapToGrid w:val="0"/>
        <w:ind w:left="480" w:firstLine="480"/>
        <w:jc w:val="both"/>
        <w:rPr>
          <w:rFonts w:ascii="標楷體" w:eastAsia="標楷體" w:hAnsi="標楷體"/>
          <w:bCs/>
          <w:kern w:val="0"/>
          <w:szCs w:val="24"/>
        </w:rPr>
      </w:pPr>
      <w:r>
        <w:rPr>
          <w:rFonts w:ascii="標楷體" w:eastAsia="標楷體" w:hAnsi="標楷體"/>
          <w:bCs/>
          <w:kern w:val="0"/>
          <w:szCs w:val="24"/>
        </w:rPr>
        <w:t>偏遠資源中心應將前項計畫執行成果，於學年度結束後一個月內報本局審核。</w:t>
      </w:r>
    </w:p>
    <w:p w14:paraId="5DCB8B71" w14:textId="77777777" w:rsidR="002B3C57" w:rsidRDefault="00820E57">
      <w:pPr>
        <w:pStyle w:val="a9"/>
        <w:numPr>
          <w:ilvl w:val="0"/>
          <w:numId w:val="5"/>
        </w:numPr>
        <w:ind w:left="567" w:hanging="567"/>
      </w:pPr>
      <w:r>
        <w:rPr>
          <w:rFonts w:ascii="標楷體" w:eastAsia="標楷體" w:hAnsi="標楷體"/>
          <w:bCs/>
          <w:kern w:val="0"/>
          <w:szCs w:val="24"/>
        </w:rPr>
        <w:t>教師經遴選兼任偏遠資源中心專業工作人員者，</w:t>
      </w:r>
      <w:proofErr w:type="gramStart"/>
      <w:r>
        <w:rPr>
          <w:rFonts w:ascii="標楷體" w:eastAsia="標楷體" w:hAnsi="標楷體"/>
          <w:bCs/>
          <w:kern w:val="0"/>
          <w:szCs w:val="24"/>
        </w:rPr>
        <w:t>得減授部分</w:t>
      </w:r>
      <w:proofErr w:type="gramEnd"/>
      <w:r>
        <w:rPr>
          <w:rFonts w:ascii="標楷體" w:eastAsia="標楷體" w:hAnsi="標楷體"/>
          <w:bCs/>
          <w:kern w:val="0"/>
          <w:szCs w:val="24"/>
        </w:rPr>
        <w:t>或全部基本授課節數。</w:t>
      </w:r>
    </w:p>
    <w:p w14:paraId="64B1591F" w14:textId="77777777" w:rsidR="002B3C57" w:rsidRDefault="00820E57">
      <w:pPr>
        <w:pStyle w:val="a9"/>
        <w:ind w:left="567"/>
      </w:pPr>
      <w:r>
        <w:rPr>
          <w:rFonts w:ascii="標楷體" w:eastAsia="標楷體" w:hAnsi="標楷體"/>
          <w:szCs w:val="24"/>
        </w:rPr>
        <w:t xml:space="preserve">   </w:t>
      </w:r>
      <w:r>
        <w:rPr>
          <w:rFonts w:ascii="標楷體" w:eastAsia="標楷體" w:hAnsi="標楷體"/>
          <w:bCs/>
          <w:kern w:val="0"/>
          <w:szCs w:val="24"/>
        </w:rPr>
        <w:t>教師及校長兼任偏遠資源中心人員之權益依運作辦法第十五條規定辦理。</w:t>
      </w:r>
    </w:p>
    <w:p w14:paraId="02B4E9C2" w14:textId="77777777" w:rsidR="002B3C57" w:rsidRDefault="00820E57">
      <w:pPr>
        <w:pStyle w:val="a9"/>
        <w:numPr>
          <w:ilvl w:val="0"/>
          <w:numId w:val="5"/>
        </w:numPr>
        <w:jc w:val="both"/>
      </w:pPr>
      <w:r>
        <w:rPr>
          <w:rFonts w:ascii="標楷體" w:eastAsia="標楷體" w:hAnsi="標楷體"/>
          <w:bCs/>
          <w:kern w:val="0"/>
          <w:szCs w:val="24"/>
        </w:rPr>
        <w:t>本局應於考核實施前六</w:t>
      </w:r>
      <w:proofErr w:type="gramStart"/>
      <w:r>
        <w:rPr>
          <w:rFonts w:ascii="標楷體" w:eastAsia="標楷體" w:hAnsi="標楷體"/>
          <w:bCs/>
          <w:kern w:val="0"/>
          <w:szCs w:val="24"/>
        </w:rPr>
        <w:t>個月訂</w:t>
      </w:r>
      <w:proofErr w:type="gramEnd"/>
      <w:r>
        <w:rPr>
          <w:rFonts w:ascii="標楷體" w:eastAsia="標楷體" w:hAnsi="標楷體"/>
          <w:bCs/>
          <w:kern w:val="0"/>
          <w:szCs w:val="24"/>
        </w:rPr>
        <w:t>定考核指標，並組成考核小組辦理偏遠資源中心人員之考核。</w:t>
      </w:r>
    </w:p>
    <w:p w14:paraId="717875BD" w14:textId="77777777" w:rsidR="002B3C57" w:rsidRDefault="00820E57">
      <w:r>
        <w:rPr>
          <w:rFonts w:ascii="標楷體" w:eastAsia="標楷體" w:hAnsi="標楷體"/>
          <w:szCs w:val="24"/>
        </w:rPr>
        <w:t xml:space="preserve">        </w:t>
      </w:r>
      <w:r>
        <w:rPr>
          <w:rFonts w:ascii="標楷體" w:eastAsia="標楷體" w:hAnsi="標楷體"/>
          <w:szCs w:val="24"/>
        </w:rPr>
        <w:t>前項</w:t>
      </w:r>
      <w:r>
        <w:rPr>
          <w:rFonts w:ascii="標楷體" w:eastAsia="標楷體" w:hAnsi="標楷體"/>
          <w:bCs/>
          <w:kern w:val="0"/>
          <w:szCs w:val="24"/>
        </w:rPr>
        <w:t>考核</w:t>
      </w:r>
      <w:r>
        <w:rPr>
          <w:rFonts w:ascii="標楷體" w:eastAsia="標楷體" w:hAnsi="標楷體"/>
          <w:szCs w:val="24"/>
        </w:rPr>
        <w:t>之結果，依下列規定辦理：</w:t>
      </w:r>
    </w:p>
    <w:p w14:paraId="3549D1B1" w14:textId="77777777" w:rsidR="002B3C57" w:rsidRDefault="00820E57">
      <w:pPr>
        <w:pStyle w:val="a9"/>
        <w:numPr>
          <w:ilvl w:val="0"/>
          <w:numId w:val="8"/>
        </w:numPr>
        <w:overflowPunct w:val="0"/>
        <w:spacing w:line="420" w:lineRule="exact"/>
        <w:ind w:hanging="338"/>
      </w:pPr>
      <w:r>
        <w:rPr>
          <w:rFonts w:ascii="標楷體" w:eastAsia="標楷體" w:hAnsi="標楷體"/>
          <w:bCs/>
          <w:kern w:val="0"/>
          <w:szCs w:val="24"/>
        </w:rPr>
        <w:t>分</w:t>
      </w:r>
      <w:r>
        <w:rPr>
          <w:rFonts w:ascii="標楷體" w:eastAsia="標楷體" w:hAnsi="標楷體"/>
          <w:szCs w:val="24"/>
        </w:rPr>
        <w:t>數為九十分以上者：記功一次。</w:t>
      </w:r>
    </w:p>
    <w:p w14:paraId="6BFE51C8" w14:textId="77777777" w:rsidR="002B3C57" w:rsidRDefault="00820E57">
      <w:pPr>
        <w:pStyle w:val="a9"/>
        <w:numPr>
          <w:ilvl w:val="0"/>
          <w:numId w:val="8"/>
        </w:numPr>
        <w:overflowPunct w:val="0"/>
        <w:spacing w:line="420" w:lineRule="exact"/>
        <w:ind w:hanging="338"/>
        <w:rPr>
          <w:rFonts w:ascii="標楷體" w:eastAsia="標楷體" w:hAnsi="標楷體"/>
          <w:szCs w:val="24"/>
        </w:rPr>
      </w:pPr>
      <w:r>
        <w:rPr>
          <w:rFonts w:ascii="標楷體" w:eastAsia="標楷體" w:hAnsi="標楷體"/>
          <w:szCs w:val="24"/>
        </w:rPr>
        <w:t>分數為八十五分至八十九分者：記嘉獎二次。</w:t>
      </w:r>
    </w:p>
    <w:p w14:paraId="169467BC" w14:textId="77777777" w:rsidR="002B3C57" w:rsidRDefault="00820E57">
      <w:pPr>
        <w:pStyle w:val="a9"/>
        <w:numPr>
          <w:ilvl w:val="0"/>
          <w:numId w:val="8"/>
        </w:numPr>
        <w:overflowPunct w:val="0"/>
        <w:spacing w:line="420" w:lineRule="exact"/>
        <w:ind w:hanging="338"/>
        <w:rPr>
          <w:rFonts w:ascii="標楷體" w:eastAsia="標楷體" w:hAnsi="標楷體"/>
          <w:szCs w:val="24"/>
        </w:rPr>
      </w:pPr>
      <w:r>
        <w:rPr>
          <w:rFonts w:ascii="標楷體" w:eastAsia="標楷體" w:hAnsi="標楷體"/>
          <w:szCs w:val="24"/>
        </w:rPr>
        <w:t>分數為八十分至八十四分者：記嘉獎一次。</w:t>
      </w:r>
    </w:p>
    <w:p w14:paraId="565C575C" w14:textId="77777777" w:rsidR="002B3C57" w:rsidRDefault="00820E57">
      <w:pPr>
        <w:pStyle w:val="a9"/>
        <w:numPr>
          <w:ilvl w:val="0"/>
          <w:numId w:val="8"/>
        </w:numPr>
        <w:overflowPunct w:val="0"/>
        <w:spacing w:line="420" w:lineRule="exact"/>
        <w:ind w:hanging="338"/>
      </w:pPr>
      <w:r>
        <w:rPr>
          <w:rFonts w:ascii="標楷體" w:eastAsia="標楷體" w:hAnsi="標楷體"/>
          <w:szCs w:val="24"/>
        </w:rPr>
        <w:t>分數未達八十分者：不予續派</w:t>
      </w:r>
      <w:r>
        <w:rPr>
          <w:rFonts w:ascii="標楷體" w:eastAsia="標楷體" w:hAnsi="標楷體"/>
          <w:bCs/>
          <w:kern w:val="0"/>
          <w:szCs w:val="24"/>
        </w:rPr>
        <w:t>兼任。</w:t>
      </w:r>
    </w:p>
    <w:p w14:paraId="2F9049E0" w14:textId="77777777" w:rsidR="002B3C57" w:rsidRDefault="00820E57">
      <w:pPr>
        <w:pStyle w:val="a9"/>
        <w:numPr>
          <w:ilvl w:val="0"/>
          <w:numId w:val="5"/>
        </w:numPr>
      </w:pPr>
      <w:r>
        <w:rPr>
          <w:rFonts w:ascii="標楷體" w:eastAsia="標楷體" w:hAnsi="標楷體"/>
          <w:bCs/>
          <w:kern w:val="0"/>
          <w:szCs w:val="24"/>
        </w:rPr>
        <w:t>考核結果除依前點第二項規定獎勵外，本局並得實施下列措施：</w:t>
      </w:r>
    </w:p>
    <w:p w14:paraId="4D6EEDF7" w14:textId="77777777" w:rsidR="002B3C57" w:rsidRDefault="00820E57">
      <w:pPr>
        <w:pStyle w:val="a9"/>
        <w:numPr>
          <w:ilvl w:val="0"/>
          <w:numId w:val="9"/>
        </w:numPr>
        <w:overflowPunct w:val="0"/>
        <w:spacing w:line="420" w:lineRule="exact"/>
        <w:ind w:left="709" w:hanging="567"/>
        <w:rPr>
          <w:rFonts w:ascii="標楷體" w:eastAsia="標楷體" w:hAnsi="標楷體"/>
          <w:bCs/>
          <w:kern w:val="0"/>
          <w:szCs w:val="24"/>
        </w:rPr>
      </w:pPr>
      <w:proofErr w:type="gramStart"/>
      <w:r>
        <w:rPr>
          <w:rFonts w:ascii="標楷體" w:eastAsia="標楷體" w:hAnsi="標楷體"/>
          <w:bCs/>
          <w:kern w:val="0"/>
          <w:szCs w:val="24"/>
        </w:rPr>
        <w:t>三</w:t>
      </w:r>
      <w:proofErr w:type="gramEnd"/>
      <w:r>
        <w:rPr>
          <w:rFonts w:ascii="標楷體" w:eastAsia="標楷體" w:hAnsi="標楷體"/>
          <w:bCs/>
          <w:kern w:val="0"/>
          <w:szCs w:val="24"/>
        </w:rPr>
        <w:t>年內有二次考核之分數為九十分以上者，本局得安排其至國內外學校或機構進行參訪。</w:t>
      </w:r>
    </w:p>
    <w:p w14:paraId="33AC0388" w14:textId="77777777" w:rsidR="002B3C57" w:rsidRDefault="00820E57">
      <w:pPr>
        <w:pStyle w:val="a9"/>
        <w:numPr>
          <w:ilvl w:val="0"/>
          <w:numId w:val="9"/>
        </w:numPr>
        <w:overflowPunct w:val="0"/>
        <w:spacing w:line="420" w:lineRule="exact"/>
        <w:ind w:left="709" w:hanging="567"/>
        <w:rPr>
          <w:rFonts w:ascii="標楷體" w:eastAsia="標楷體" w:hAnsi="標楷體"/>
          <w:bCs/>
          <w:kern w:val="0"/>
          <w:szCs w:val="24"/>
        </w:rPr>
      </w:pPr>
      <w:r>
        <w:rPr>
          <w:rFonts w:ascii="標楷體" w:eastAsia="標楷體" w:hAnsi="標楷體"/>
          <w:bCs/>
          <w:kern w:val="0"/>
          <w:szCs w:val="24"/>
        </w:rPr>
        <w:t>教師兼任召集人、副召集人或專業工作人員者，其三年內有二次考核分數為偏遠資源中心前百分之十者，得向本局申請於暑假期間赴國外學校或機構，參與提升課程與教學專業知能之短期進修之部分補助；</w:t>
      </w:r>
      <w:proofErr w:type="gramStart"/>
      <w:r>
        <w:rPr>
          <w:rFonts w:ascii="標楷體" w:eastAsia="標楷體" w:hAnsi="標楷體"/>
          <w:bCs/>
          <w:kern w:val="0"/>
          <w:szCs w:val="24"/>
        </w:rPr>
        <w:t>教師減授部分</w:t>
      </w:r>
      <w:proofErr w:type="gramEnd"/>
      <w:r>
        <w:rPr>
          <w:rFonts w:ascii="標楷體" w:eastAsia="標楷體" w:hAnsi="標楷體"/>
          <w:bCs/>
          <w:kern w:val="0"/>
          <w:szCs w:val="24"/>
        </w:rPr>
        <w:t>基本授課節數兼任者，其部分補助之費用，為全時兼任者之二分之一。</w:t>
      </w:r>
    </w:p>
    <w:p w14:paraId="69105A56" w14:textId="77777777" w:rsidR="002B3C57" w:rsidRDefault="00820E57">
      <w:pPr>
        <w:pStyle w:val="a9"/>
        <w:overflowPunct w:val="0"/>
        <w:spacing w:line="420" w:lineRule="exact"/>
        <w:rPr>
          <w:rFonts w:ascii="標楷體" w:eastAsia="標楷體" w:hAnsi="標楷體"/>
          <w:bCs/>
          <w:kern w:val="0"/>
          <w:szCs w:val="24"/>
        </w:rPr>
      </w:pPr>
      <w:r>
        <w:rPr>
          <w:rFonts w:ascii="標楷體" w:eastAsia="標楷體" w:hAnsi="標楷體"/>
          <w:bCs/>
          <w:kern w:val="0"/>
          <w:szCs w:val="24"/>
        </w:rPr>
        <w:lastRenderedPageBreak/>
        <w:t xml:space="preserve">　前項措施之實施方式如下：</w:t>
      </w:r>
    </w:p>
    <w:p w14:paraId="33667E98" w14:textId="77777777" w:rsidR="002B3C57" w:rsidRDefault="00820E57">
      <w:pPr>
        <w:pStyle w:val="a9"/>
        <w:numPr>
          <w:ilvl w:val="0"/>
          <w:numId w:val="10"/>
        </w:numPr>
        <w:overflowPunct w:val="0"/>
        <w:spacing w:line="420" w:lineRule="exact"/>
        <w:ind w:hanging="338"/>
        <w:rPr>
          <w:rFonts w:ascii="標楷體" w:eastAsia="標楷體" w:hAnsi="標楷體"/>
          <w:bCs/>
          <w:kern w:val="0"/>
          <w:szCs w:val="24"/>
        </w:rPr>
      </w:pPr>
      <w:r>
        <w:rPr>
          <w:rFonts w:ascii="標楷體" w:eastAsia="標楷體" w:hAnsi="標楷體"/>
          <w:bCs/>
          <w:kern w:val="0"/>
          <w:szCs w:val="24"/>
        </w:rPr>
        <w:t>獎勵之申請方式及補助額度，由本局另定獎勵計畫辦理。</w:t>
      </w:r>
    </w:p>
    <w:p w14:paraId="7E134F87" w14:textId="77777777" w:rsidR="002B3C57" w:rsidRDefault="00820E57">
      <w:pPr>
        <w:pStyle w:val="a9"/>
        <w:numPr>
          <w:ilvl w:val="0"/>
          <w:numId w:val="10"/>
        </w:numPr>
        <w:overflowPunct w:val="0"/>
        <w:spacing w:line="420" w:lineRule="exact"/>
        <w:ind w:hanging="338"/>
        <w:rPr>
          <w:rFonts w:ascii="標楷體" w:eastAsia="標楷體" w:hAnsi="標楷體"/>
          <w:bCs/>
          <w:kern w:val="0"/>
          <w:szCs w:val="24"/>
        </w:rPr>
      </w:pPr>
      <w:r>
        <w:rPr>
          <w:rFonts w:ascii="標楷體" w:eastAsia="標楷體" w:hAnsi="標楷體"/>
          <w:bCs/>
          <w:kern w:val="0"/>
          <w:szCs w:val="24"/>
        </w:rPr>
        <w:t>符合獎勵資格者，應於考核後二年內向本局提出申請，並以一次為限。</w:t>
      </w:r>
    </w:p>
    <w:p w14:paraId="45DEE4BB" w14:textId="77777777" w:rsidR="002B3C57" w:rsidRDefault="00820E57">
      <w:pPr>
        <w:pStyle w:val="a9"/>
        <w:numPr>
          <w:ilvl w:val="0"/>
          <w:numId w:val="10"/>
        </w:numPr>
        <w:overflowPunct w:val="0"/>
        <w:spacing w:line="420" w:lineRule="exact"/>
        <w:ind w:hanging="338"/>
        <w:rPr>
          <w:rFonts w:ascii="標楷體" w:eastAsia="標楷體" w:hAnsi="標楷體"/>
          <w:bCs/>
          <w:kern w:val="0"/>
          <w:szCs w:val="24"/>
        </w:rPr>
      </w:pPr>
      <w:r>
        <w:rPr>
          <w:rFonts w:ascii="標楷體" w:eastAsia="標楷體" w:hAnsi="標楷體"/>
          <w:bCs/>
          <w:kern w:val="0"/>
          <w:szCs w:val="24"/>
        </w:rPr>
        <w:t>獲獎勵者應於參訪或進修後，於偏遠資源中心分享成果。</w:t>
      </w:r>
    </w:p>
    <w:p w14:paraId="12F9A8FC" w14:textId="77777777" w:rsidR="002B3C57" w:rsidRDefault="00820E57">
      <w:pPr>
        <w:pStyle w:val="a9"/>
        <w:numPr>
          <w:ilvl w:val="0"/>
          <w:numId w:val="11"/>
        </w:numPr>
      </w:pPr>
      <w:r>
        <w:rPr>
          <w:rFonts w:ascii="標楷體" w:eastAsia="標楷體" w:hAnsi="標楷體"/>
          <w:bCs/>
          <w:kern w:val="0"/>
          <w:szCs w:val="24"/>
        </w:rPr>
        <w:t>偏遠資源中心所需經費，由中央機關相關補助款及本局編列年度預算支應。</w:t>
      </w:r>
    </w:p>
    <w:sectPr w:rsidR="002B3C57">
      <w:footerReference w:type="default" r:id="rId7"/>
      <w:pgSz w:w="11906" w:h="16838"/>
      <w:pgMar w:top="1418" w:right="1418" w:bottom="1418" w:left="1701"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9162" w14:textId="77777777" w:rsidR="00820E57" w:rsidRDefault="00820E57">
      <w:r>
        <w:separator/>
      </w:r>
    </w:p>
  </w:endnote>
  <w:endnote w:type="continuationSeparator" w:id="0">
    <w:p w14:paraId="1F806D19" w14:textId="77777777" w:rsidR="00820E57" w:rsidRDefault="0082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W-Kai-98_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A7E6" w14:textId="77777777" w:rsidR="00B0460E" w:rsidRDefault="00820E57">
    <w:pPr>
      <w:pStyle w:val="a7"/>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E83C" w14:textId="77777777" w:rsidR="00820E57" w:rsidRDefault="00820E57">
      <w:r>
        <w:rPr>
          <w:color w:val="000000"/>
        </w:rPr>
        <w:separator/>
      </w:r>
    </w:p>
  </w:footnote>
  <w:footnote w:type="continuationSeparator" w:id="0">
    <w:p w14:paraId="1C32C226" w14:textId="77777777" w:rsidR="00820E57" w:rsidRDefault="0082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04"/>
    <w:multiLevelType w:val="multilevel"/>
    <w:tmpl w:val="0996F9B6"/>
    <w:lvl w:ilvl="0">
      <w:start w:val="3"/>
      <w:numFmt w:val="taiwaneseCountingThousand"/>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F87314"/>
    <w:multiLevelType w:val="multilevel"/>
    <w:tmpl w:val="3CE227B0"/>
    <w:lvl w:ilvl="0">
      <w:start w:val="1"/>
      <w:numFmt w:val="taiwaneseCountingThousand"/>
      <w:lvlText w:val="(%1)"/>
      <w:lvlJc w:val="left"/>
      <w:pPr>
        <w:ind w:left="480" w:hanging="480"/>
      </w:pPr>
      <w:rPr>
        <w:rFonts w:ascii="標楷體" w:eastAsia="標楷體" w:hAnsi="標楷體"/>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63A5D2E"/>
    <w:multiLevelType w:val="multilevel"/>
    <w:tmpl w:val="F832561E"/>
    <w:lvl w:ilvl="0">
      <w:start w:val="4"/>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6D86C74"/>
    <w:multiLevelType w:val="multilevel"/>
    <w:tmpl w:val="D542EC72"/>
    <w:lvl w:ilvl="0">
      <w:start w:val="1"/>
      <w:numFmt w:val="taiwaneseCountingThousand"/>
      <w:lvlText w:val="%1、"/>
      <w:lvlJc w:val="left"/>
      <w:pPr>
        <w:ind w:left="1288" w:hanging="720"/>
      </w:pPr>
      <w:rPr>
        <w:rFonts w:ascii="標楷體" w:eastAsia="標楷體" w:hAnsi="標楷體"/>
        <w:color w:val="auto"/>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 w15:restartNumberingAfterBreak="0">
    <w:nsid w:val="32372F68"/>
    <w:multiLevelType w:val="multilevel"/>
    <w:tmpl w:val="BD305B7C"/>
    <w:lvl w:ilvl="0">
      <w:start w:val="1"/>
      <w:numFmt w:val="decimal"/>
      <w:lvlText w:val="%1."/>
      <w:lvlJc w:val="left"/>
      <w:pPr>
        <w:ind w:left="1133" w:hanging="480"/>
      </w:pPr>
      <w:rPr>
        <w:rFonts w:ascii="標楷體" w:eastAsia="標楷體" w:hAnsi="標楷體"/>
      </w:rPr>
    </w:lvl>
    <w:lvl w:ilvl="1">
      <w:start w:val="1"/>
      <w:numFmt w:val="ideographTradition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ideographTradition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ideographTraditional"/>
      <w:lvlText w:val="%8、"/>
      <w:lvlJc w:val="left"/>
      <w:pPr>
        <w:ind w:left="4493" w:hanging="480"/>
      </w:pPr>
    </w:lvl>
    <w:lvl w:ilvl="8">
      <w:start w:val="1"/>
      <w:numFmt w:val="lowerRoman"/>
      <w:lvlText w:val="%9."/>
      <w:lvlJc w:val="right"/>
      <w:pPr>
        <w:ind w:left="4973" w:hanging="480"/>
      </w:pPr>
    </w:lvl>
  </w:abstractNum>
  <w:abstractNum w:abstractNumId="5" w15:restartNumberingAfterBreak="0">
    <w:nsid w:val="331276BA"/>
    <w:multiLevelType w:val="multilevel"/>
    <w:tmpl w:val="28327C9E"/>
    <w:lvl w:ilvl="0">
      <w:start w:val="1"/>
      <w:numFmt w:val="taiwaneseCountingThousand"/>
      <w:lvlText w:val="(%1)"/>
      <w:lvlJc w:val="left"/>
      <w:pPr>
        <w:ind w:left="616" w:hanging="480"/>
      </w:pPr>
      <w:rPr>
        <w:rFonts w:ascii="標楷體" w:eastAsia="標楷體" w:hAnsi="標楷體"/>
        <w:b w:val="0"/>
        <w:color w:val="auto"/>
      </w:rPr>
    </w:lvl>
    <w:lvl w:ilvl="1">
      <w:start w:val="1"/>
      <w:numFmt w:val="ideographTraditional"/>
      <w:lvlText w:val="%2、"/>
      <w:lvlJc w:val="left"/>
      <w:pPr>
        <w:ind w:left="1096" w:hanging="480"/>
      </w:pPr>
    </w:lvl>
    <w:lvl w:ilvl="2">
      <w:start w:val="1"/>
      <w:numFmt w:val="lowerRoman"/>
      <w:lvlText w:val="%3."/>
      <w:lvlJc w:val="right"/>
      <w:pPr>
        <w:ind w:left="1576" w:hanging="480"/>
      </w:pPr>
    </w:lvl>
    <w:lvl w:ilvl="3">
      <w:start w:val="1"/>
      <w:numFmt w:val="decimal"/>
      <w:lvlText w:val="%4."/>
      <w:lvlJc w:val="left"/>
      <w:pPr>
        <w:ind w:left="2056" w:hanging="480"/>
      </w:pPr>
    </w:lvl>
    <w:lvl w:ilvl="4">
      <w:start w:val="1"/>
      <w:numFmt w:val="ideographTraditional"/>
      <w:lvlText w:val="%5、"/>
      <w:lvlJc w:val="left"/>
      <w:pPr>
        <w:ind w:left="2536" w:hanging="480"/>
      </w:pPr>
    </w:lvl>
    <w:lvl w:ilvl="5">
      <w:start w:val="1"/>
      <w:numFmt w:val="lowerRoman"/>
      <w:lvlText w:val="%6."/>
      <w:lvlJc w:val="right"/>
      <w:pPr>
        <w:ind w:left="3016" w:hanging="480"/>
      </w:pPr>
    </w:lvl>
    <w:lvl w:ilvl="6">
      <w:start w:val="1"/>
      <w:numFmt w:val="decimal"/>
      <w:lvlText w:val="%7."/>
      <w:lvlJc w:val="left"/>
      <w:pPr>
        <w:ind w:left="3496" w:hanging="480"/>
      </w:pPr>
    </w:lvl>
    <w:lvl w:ilvl="7">
      <w:start w:val="1"/>
      <w:numFmt w:val="ideographTraditional"/>
      <w:lvlText w:val="%8、"/>
      <w:lvlJc w:val="left"/>
      <w:pPr>
        <w:ind w:left="3976" w:hanging="480"/>
      </w:pPr>
    </w:lvl>
    <w:lvl w:ilvl="8">
      <w:start w:val="1"/>
      <w:numFmt w:val="lowerRoman"/>
      <w:lvlText w:val="%9."/>
      <w:lvlJc w:val="right"/>
      <w:pPr>
        <w:ind w:left="4456" w:hanging="480"/>
      </w:pPr>
    </w:lvl>
  </w:abstractNum>
  <w:abstractNum w:abstractNumId="6" w15:restartNumberingAfterBreak="0">
    <w:nsid w:val="42E50A36"/>
    <w:multiLevelType w:val="multilevel"/>
    <w:tmpl w:val="D6CCC95A"/>
    <w:lvl w:ilvl="0">
      <w:start w:val="1"/>
      <w:numFmt w:val="taiwaneseCountingThousand"/>
      <w:lvlText w:val="(%1)"/>
      <w:lvlJc w:val="left"/>
      <w:pPr>
        <w:ind w:left="848" w:hanging="480"/>
      </w:pPr>
      <w:rPr>
        <w:rFonts w:ascii="標楷體" w:eastAsia="標楷體" w:hAnsi="標楷體"/>
        <w:b w:val="0"/>
        <w:color w:val="auto"/>
      </w:rPr>
    </w:lvl>
    <w:lvl w:ilvl="1">
      <w:start w:val="1"/>
      <w:numFmt w:val="ideographTraditional"/>
      <w:lvlText w:val="%2、"/>
      <w:lvlJc w:val="left"/>
      <w:pPr>
        <w:ind w:left="1328" w:hanging="480"/>
      </w:pPr>
    </w:lvl>
    <w:lvl w:ilvl="2">
      <w:start w:val="1"/>
      <w:numFmt w:val="lowerRoman"/>
      <w:lvlText w:val="%3."/>
      <w:lvlJc w:val="right"/>
      <w:pPr>
        <w:ind w:left="1808" w:hanging="480"/>
      </w:pPr>
    </w:lvl>
    <w:lvl w:ilvl="3">
      <w:start w:val="1"/>
      <w:numFmt w:val="decimal"/>
      <w:lvlText w:val="%4."/>
      <w:lvlJc w:val="left"/>
      <w:pPr>
        <w:ind w:left="2288" w:hanging="480"/>
      </w:pPr>
    </w:lvl>
    <w:lvl w:ilvl="4">
      <w:start w:val="1"/>
      <w:numFmt w:val="ideographTraditional"/>
      <w:lvlText w:val="%5、"/>
      <w:lvlJc w:val="left"/>
      <w:pPr>
        <w:ind w:left="2768" w:hanging="480"/>
      </w:pPr>
    </w:lvl>
    <w:lvl w:ilvl="5">
      <w:start w:val="1"/>
      <w:numFmt w:val="lowerRoman"/>
      <w:lvlText w:val="%6."/>
      <w:lvlJc w:val="right"/>
      <w:pPr>
        <w:ind w:left="3248" w:hanging="480"/>
      </w:pPr>
    </w:lvl>
    <w:lvl w:ilvl="6">
      <w:start w:val="1"/>
      <w:numFmt w:val="decimal"/>
      <w:lvlText w:val="%7."/>
      <w:lvlJc w:val="left"/>
      <w:pPr>
        <w:ind w:left="3728" w:hanging="480"/>
      </w:pPr>
    </w:lvl>
    <w:lvl w:ilvl="7">
      <w:start w:val="1"/>
      <w:numFmt w:val="ideographTraditional"/>
      <w:lvlText w:val="%8、"/>
      <w:lvlJc w:val="left"/>
      <w:pPr>
        <w:ind w:left="4208" w:hanging="480"/>
      </w:pPr>
    </w:lvl>
    <w:lvl w:ilvl="8">
      <w:start w:val="1"/>
      <w:numFmt w:val="lowerRoman"/>
      <w:lvlText w:val="%9."/>
      <w:lvlJc w:val="right"/>
      <w:pPr>
        <w:ind w:left="4688" w:hanging="480"/>
      </w:pPr>
    </w:lvl>
  </w:abstractNum>
  <w:abstractNum w:abstractNumId="7" w15:restartNumberingAfterBreak="0">
    <w:nsid w:val="4AA55B82"/>
    <w:multiLevelType w:val="multilevel"/>
    <w:tmpl w:val="A510D786"/>
    <w:lvl w:ilvl="0">
      <w:start w:val="9"/>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96E120B"/>
    <w:multiLevelType w:val="multilevel"/>
    <w:tmpl w:val="D1D6897E"/>
    <w:lvl w:ilvl="0">
      <w:start w:val="1"/>
      <w:numFmt w:val="taiwaneseCountingThousand"/>
      <w:lvlText w:val="(%1)"/>
      <w:lvlJc w:val="left"/>
      <w:pPr>
        <w:ind w:left="480" w:hanging="480"/>
      </w:pPr>
      <w:rPr>
        <w:rFonts w:ascii="標楷體" w:eastAsia="標楷體" w:hAnsi="標楷體"/>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3097F8F"/>
    <w:multiLevelType w:val="multilevel"/>
    <w:tmpl w:val="B5C036FA"/>
    <w:lvl w:ilvl="0">
      <w:start w:val="1"/>
      <w:numFmt w:val="taiwaneseCountingThousand"/>
      <w:lvlText w:val="(%1)"/>
      <w:lvlJc w:val="left"/>
      <w:pPr>
        <w:ind w:left="480" w:hanging="480"/>
      </w:pPr>
      <w:rPr>
        <w:rFonts w:ascii="標楷體" w:eastAsia="標楷體" w:hAnsi="標楷體"/>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7415118"/>
    <w:multiLevelType w:val="multilevel"/>
    <w:tmpl w:val="86DE8C92"/>
    <w:lvl w:ilvl="0">
      <w:start w:val="1"/>
      <w:numFmt w:val="taiwaneseCountingThousand"/>
      <w:lvlText w:val="(%1)"/>
      <w:lvlJc w:val="left"/>
      <w:pPr>
        <w:ind w:left="480"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0"/>
  </w:num>
  <w:num w:numId="3">
    <w:abstractNumId w:val="0"/>
  </w:num>
  <w:num w:numId="4">
    <w:abstractNumId w:val="5"/>
  </w:num>
  <w:num w:numId="5">
    <w:abstractNumId w:val="2"/>
  </w:num>
  <w:num w:numId="6">
    <w:abstractNumId w:val="6"/>
  </w:num>
  <w:num w:numId="7">
    <w:abstractNumId w:val="4"/>
  </w:num>
  <w:num w:numId="8">
    <w:abstractNumId w:val="9"/>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2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B3C57"/>
    <w:rsid w:val="002B3C57"/>
    <w:rsid w:val="00820E57"/>
    <w:rsid w:val="00EF1F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7AD3"/>
  <w15:docId w15:val="{5FD79BDE-49E2-4313-92BD-A1EAE3F0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Roki</cp:lastModifiedBy>
  <cp:revision>2</cp:revision>
  <cp:lastPrinted>2024-07-31T06:33:00Z</cp:lastPrinted>
  <dcterms:created xsi:type="dcterms:W3CDTF">2024-08-02T09:33:00Z</dcterms:created>
  <dcterms:modified xsi:type="dcterms:W3CDTF">2024-08-02T09:33:00Z</dcterms:modified>
</cp:coreProperties>
</file>