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proofErr w:type="gramEnd"/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proofErr w:type="gramStart"/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3430B4">
        <w:rPr>
          <w:rFonts w:ascii="標楷體" w:eastAsia="標楷體" w:hAnsi="標楷體" w:hint="eastAsia"/>
          <w:b/>
          <w:color w:val="000000"/>
          <w:sz w:val="30"/>
          <w:szCs w:val="30"/>
        </w:rPr>
        <w:t>4</w:t>
      </w:r>
      <w:proofErr w:type="gramEnd"/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年度推動民眾行動上網計畫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活動說明暨報名表</w:t>
      </w:r>
    </w:p>
    <w:p w:rsidR="00B07FF3" w:rsidRPr="003430B4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0" w:name="_Toc176596728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0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proofErr w:type="gramStart"/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proofErr w:type="gramEnd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1" w:name="_Toc176596168"/>
      <w:bookmarkStart w:id="2" w:name="_Toc176596334"/>
      <w:bookmarkStart w:id="3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1"/>
      <w:bookmarkEnd w:id="2"/>
      <w:bookmarkEnd w:id="3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</w:t>
      </w:r>
      <w:proofErr w:type="gramStart"/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止</w:t>
      </w:r>
      <w:proofErr w:type="gramEnd"/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proofErr w:type="gramStart"/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proofErr w:type="gramEnd"/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proofErr w:type="gramStart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</w:t>
      </w:r>
      <w:proofErr w:type="gramEnd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</w:t>
      </w:r>
      <w:proofErr w:type="gramStart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詳如里關懷</w:t>
      </w:r>
      <w:proofErr w:type="gramEnd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1.電腦基礎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：本課程從基礎入門帶領學員進入電腦世界，學習如何使用電腦滑鼠與鍵盤操作、如何上網…等。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2.數位生活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：本課程介紹如何申請E-Mail電子信箱、</w:t>
      </w:r>
      <w:proofErr w:type="spellStart"/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FaceBook</w:t>
      </w:r>
      <w:proofErr w:type="spellEnd"/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</w:t>
      </w:r>
      <w:proofErr w:type="gramStart"/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臉書</w:t>
      </w:r>
      <w:proofErr w:type="gramEnd"/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)、介紹網路購物、訂票…等其它網路生活應用。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3.平板電腦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：本課程可讓同學體驗平板電腦，課程內容:包含認識平板電腦、平板電腦常用功能介紹、無線上網設定、APP應用程式下載、實用APP介紹…等。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4.智慧型手機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：本課程可讓同學體驗智慧型手機，課程內容:包含認識智慧型手機、智慧型手機常用功能介紹、無線上網設定、APP應用程式下載、實用APP介紹…等。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</w:t>
      </w:r>
      <w:proofErr w:type="gramStart"/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即可自</w:t>
      </w:r>
      <w:proofErr w:type="gramEnd"/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</w:t>
      </w:r>
      <w:proofErr w:type="gramStart"/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</w:t>
      </w:r>
      <w:proofErr w:type="gramEnd"/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14" w:hanging="430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請填寫下表，並於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填寫完後可</w:t>
      </w:r>
      <w:proofErr w:type="gramStart"/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逕</w:t>
      </w:r>
      <w:proofErr w:type="gramEnd"/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送各里關懷中心，若不便親自前往，亦可電洽本市里關懷中心、社區資訊服務中心或本府資訊中心報名。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4" w:name="_Toc188246890"/>
      <w:bookmarkStart w:id="5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4"/>
      <w:bookmarkEnd w:id="5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6" w:name="_Toc188246891"/>
      <w:bookmarkStart w:id="7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6"/>
      <w:bookmarkEnd w:id="7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>
        <w:rPr>
          <w:rFonts w:ascii="標楷體" w:eastAsia="標楷體" w:hAnsi="標楷體" w:hint="eastAsia"/>
          <w:color w:val="000000"/>
          <w:sz w:val="20"/>
          <w:szCs w:val="20"/>
        </w:rPr>
        <w:t>：電腦書本乙本。</w:t>
      </w:r>
    </w:p>
    <w:p w:rsidR="0013527C" w:rsidRPr="0003041D" w:rsidRDefault="00C96872" w:rsidP="0003041D">
      <w:pPr>
        <w:keepLines/>
        <w:widowControl/>
        <w:suppressLineNumbers/>
        <w:suppressAutoHyphens/>
        <w:topLinePunct/>
        <w:adjustRightInd w:val="0"/>
        <w:snapToGrid w:val="0"/>
        <w:spacing w:line="160" w:lineRule="atLeast"/>
        <w:ind w:leftChars="52" w:left="300" w:hangingChars="97" w:hanging="175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03041D">
        <w:rPr>
          <w:rFonts w:ascii="標楷體" w:eastAsia="標楷體" w:hAnsi="標楷體" w:hint="eastAsia"/>
          <w:sz w:val="18"/>
          <w:szCs w:val="18"/>
        </w:rPr>
        <w:t>&lt;</w:t>
      </w:r>
      <w:proofErr w:type="gramStart"/>
      <w:r w:rsidRPr="0003041D">
        <w:rPr>
          <w:rFonts w:ascii="標楷體" w:eastAsia="標楷體" w:hAnsi="標楷體" w:hint="eastAsia"/>
          <w:sz w:val="18"/>
          <w:szCs w:val="18"/>
        </w:rPr>
        <w:t>請翻至</w:t>
      </w:r>
      <w:proofErr w:type="gramEnd"/>
      <w:r w:rsidRPr="0003041D">
        <w:rPr>
          <w:rFonts w:ascii="標楷體" w:eastAsia="標楷體" w:hAnsi="標楷體" w:hint="eastAsia"/>
          <w:sz w:val="18"/>
          <w:szCs w:val="18"/>
        </w:rPr>
        <w:t>背面 查詢接受報名之里關懷中心&gt;</w:t>
      </w:r>
    </w:p>
    <w:p w:rsidR="00847D9E" w:rsidRPr="00BB6E49" w:rsidRDefault="00006759" w:rsidP="00E74CF9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color w:val="000000"/>
          <w:sz w:val="22"/>
          <w:szCs w:val="22"/>
        </w:rPr>
      </w:pPr>
      <w:r>
        <w:rPr>
          <w:rFonts w:ascii="標楷體" w:eastAsia="標楷體" w:hAnsi="標楷體"/>
          <w:noProof/>
          <w:color w:val="000000"/>
          <w:sz w:val="20"/>
          <w:szCs w:val="20"/>
        </w:rPr>
        <w:pict>
          <v:line id="_x0000_s1027" style="position:absolute;left:0;text-align:left;z-index:251657728" from="-36pt,6.6pt" to="534pt,6.6pt" strokeweight="1.5pt">
            <v:stroke dashstyle="dashDot"/>
          </v:line>
        </w:pict>
      </w:r>
      <w:proofErr w:type="gramStart"/>
      <w:r w:rsidR="00157CE0">
        <w:rPr>
          <w:rFonts w:ascii="標楷體" w:eastAsia="標楷體" w:hAnsi="標楷體" w:hint="eastAsia"/>
          <w:b/>
          <w:color w:val="000000"/>
          <w:sz w:val="22"/>
          <w:szCs w:val="22"/>
        </w:rPr>
        <w:t>臺</w:t>
      </w:r>
      <w:proofErr w:type="gramEnd"/>
      <w:r w:rsidR="002E49BB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南市政府辦理「</w:t>
      </w:r>
      <w:proofErr w:type="gramStart"/>
      <w:r w:rsidR="006002AD" w:rsidRPr="006002AD">
        <w:rPr>
          <w:rFonts w:ascii="標楷體" w:eastAsia="標楷體" w:hAnsi="標楷體" w:hint="eastAsia"/>
          <w:b/>
          <w:color w:val="000000"/>
          <w:sz w:val="22"/>
          <w:szCs w:val="22"/>
        </w:rPr>
        <w:t>10</w:t>
      </w:r>
      <w:r w:rsidR="009E0677">
        <w:rPr>
          <w:rFonts w:ascii="標楷體" w:eastAsia="標楷體" w:hAnsi="標楷體" w:hint="eastAsia"/>
          <w:b/>
          <w:color w:val="000000"/>
          <w:sz w:val="22"/>
          <w:szCs w:val="22"/>
        </w:rPr>
        <w:t>4</w:t>
      </w:r>
      <w:proofErr w:type="gramEnd"/>
      <w:r w:rsidR="006002AD" w:rsidRPr="006002AD">
        <w:rPr>
          <w:rFonts w:ascii="標楷體" w:eastAsia="標楷體" w:hAnsi="標楷體" w:hint="eastAsia"/>
          <w:b/>
          <w:color w:val="000000"/>
          <w:sz w:val="22"/>
          <w:szCs w:val="22"/>
        </w:rPr>
        <w:t>年度推動民眾行動上網計畫</w:t>
      </w:r>
      <w:r w:rsidR="002E49BB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」</w:t>
      </w:r>
      <w:r w:rsidR="008A04EE" w:rsidRPr="00BB6E49">
        <w:rPr>
          <w:rFonts w:ascii="標楷體" w:eastAsia="標楷體" w:hAnsi="標楷體" w:hint="eastAsia"/>
          <w:b/>
          <w:sz w:val="22"/>
          <w:szCs w:val="22"/>
        </w:rPr>
        <w:t>研習班</w:t>
      </w:r>
      <w:r w:rsidR="00847D9E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報名表</w:t>
      </w:r>
    </w:p>
    <w:p w:rsidR="00847D9E" w:rsidRPr="00CA0D69" w:rsidRDefault="00006759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0"/>
          <w:szCs w:val="20"/>
        </w:rPr>
        <w:pict>
          <v:rect id="_x0000_s1029" style="position:absolute;left:0;text-align:left;margin-left:377.85pt;margin-top:23.75pt;width:113.1pt;height:25.35pt;z-index:251658752" strokeweight="1pt">
            <v:stroke dashstyle="dash"/>
            <v:textbox>
              <w:txbxContent>
                <w:p w:rsidR="0013196F" w:rsidRPr="0013196F" w:rsidRDefault="0013196F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13196F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班別代號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 w:rsidR="00DA06BA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1.</w:t>
      </w:r>
      <w:r w:rsidR="00847D9E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請填寫表內資料：</w:t>
      </w:r>
      <w:r w:rsidR="00E87D24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(填寫完後可</w:t>
      </w:r>
      <w:proofErr w:type="gramStart"/>
      <w:r w:rsidR="00E87D24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逕</w:t>
      </w:r>
      <w:proofErr w:type="gramEnd"/>
      <w:r w:rsidR="00E87D24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送各里關懷中心，若不便親自前往，亦可電洽</w:t>
      </w:r>
      <w:r w:rsidR="00EA52A4" w:rsidRPr="00086399">
        <w:rPr>
          <w:rFonts w:ascii="標楷體" w:eastAsia="標楷體" w:hAnsi="標楷體" w:hint="eastAsia"/>
          <w:b/>
          <w:color w:val="000000"/>
          <w:spacing w:val="-6"/>
          <w:sz w:val="20"/>
          <w:szCs w:val="20"/>
        </w:rPr>
        <w:t>本市里關懷中心、</w:t>
      </w:r>
      <w:r w:rsidR="00EA52A4" w:rsidRPr="00086399">
        <w:rPr>
          <w:rFonts w:ascii="標楷體" w:eastAsia="標楷體" w:hAnsi="標楷體" w:hint="eastAsia"/>
          <w:b/>
          <w:color w:val="000000"/>
          <w:sz w:val="20"/>
          <w:szCs w:val="20"/>
        </w:rPr>
        <w:t>社區資訊服務中心</w:t>
      </w:r>
      <w:r w:rsidR="00EA52A4" w:rsidRPr="00086399">
        <w:rPr>
          <w:rFonts w:ascii="標楷體" w:eastAsia="標楷體" w:hAnsi="標楷體" w:hint="eastAsia"/>
          <w:b/>
          <w:color w:val="000000"/>
          <w:spacing w:val="-6"/>
          <w:sz w:val="20"/>
          <w:szCs w:val="20"/>
        </w:rPr>
        <w:t>或本府資訊中心</w:t>
      </w:r>
      <w:r w:rsidR="00E87D24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報名。)</w:t>
      </w:r>
    </w:p>
    <w:p w:rsidR="00DA06BA" w:rsidRPr="00CA0D69" w:rsidRDefault="00DA06BA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2.以下表格欄位內有*</w:t>
      </w:r>
      <w:proofErr w:type="gramStart"/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字者為</w:t>
      </w:r>
      <w:r w:rsidR="003C1A5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必</w:t>
      </w: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填</w:t>
      </w:r>
      <w:proofErr w:type="gramEnd"/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。</w:t>
      </w:r>
    </w:p>
    <w:p w:rsidR="00741178" w:rsidRPr="00CA0D69" w:rsidRDefault="00DA06BA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3.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上課的時段說明：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上午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 xml:space="preserve">:AM9:00~AM12:00: 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下午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PM2:00~PM5:00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晚上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:PM6:30~PM</w:t>
      </w:r>
      <w:proofErr w:type="gramStart"/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:9:30</w:t>
      </w:r>
      <w:proofErr w:type="gramEnd"/>
      <w:r w:rsidR="0013196F" w:rsidRPr="00CA0D6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</w:t>
      </w:r>
    </w:p>
    <w:tbl>
      <w:tblPr>
        <w:tblW w:w="9580" w:type="dxa"/>
        <w:jc w:val="center"/>
        <w:tblCellSpacing w:w="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4"/>
        <w:gridCol w:w="890"/>
        <w:gridCol w:w="425"/>
        <w:gridCol w:w="283"/>
        <w:gridCol w:w="1276"/>
        <w:gridCol w:w="142"/>
        <w:gridCol w:w="1782"/>
        <w:gridCol w:w="202"/>
        <w:gridCol w:w="3026"/>
      </w:tblGrid>
      <w:tr w:rsidR="00741178" w:rsidRPr="00847D9E" w:rsidTr="0013196F">
        <w:trPr>
          <w:trHeight w:val="634"/>
          <w:tblCellSpacing w:w="5" w:type="dxa"/>
          <w:jc w:val="center"/>
        </w:trPr>
        <w:tc>
          <w:tcPr>
            <w:tcW w:w="2854" w:type="dxa"/>
            <w:gridSpan w:val="3"/>
            <w:shd w:val="clear" w:color="auto" w:fill="FBD4B4"/>
            <w:vAlign w:val="center"/>
          </w:tcPr>
          <w:p w:rsidR="00741178" w:rsidRDefault="00741178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預計上課地點</w:t>
            </w:r>
          </w:p>
          <w:p w:rsidR="00741178" w:rsidRPr="00847D9E" w:rsidRDefault="00741178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(請填鄉鎮市</w:t>
            </w:r>
            <w:r w:rsidR="00B07F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學校名稱)</w:t>
            </w:r>
          </w:p>
        </w:tc>
        <w:tc>
          <w:tcPr>
            <w:tcW w:w="1549" w:type="dxa"/>
            <w:gridSpan w:val="2"/>
            <w:shd w:val="clear" w:color="auto" w:fill="FBD4B4"/>
            <w:vAlign w:val="center"/>
          </w:tcPr>
          <w:p w:rsidR="00741178" w:rsidRPr="00847D9E" w:rsidRDefault="00B07FF3" w:rsidP="00B07FF3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</w:t>
            </w:r>
            <w:r w:rsidR="00741178"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上課日期</w:t>
            </w:r>
          </w:p>
        </w:tc>
        <w:tc>
          <w:tcPr>
            <w:tcW w:w="2116" w:type="dxa"/>
            <w:gridSpan w:val="3"/>
            <w:shd w:val="clear" w:color="auto" w:fill="FBD4B4"/>
            <w:vAlign w:val="center"/>
          </w:tcPr>
          <w:p w:rsidR="00741178" w:rsidRPr="0075131C" w:rsidRDefault="00B07FF3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</w:t>
            </w:r>
            <w:r w:rsidR="00741178"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</w:p>
          <w:p w:rsidR="00B77092" w:rsidRDefault="0075131C" w:rsidP="00517EC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="00B77092"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11" w:type="dxa"/>
            <w:shd w:val="clear" w:color="auto" w:fill="FBD4B4"/>
            <w:vAlign w:val="center"/>
          </w:tcPr>
          <w:p w:rsidR="00741178" w:rsidRPr="00847D9E" w:rsidRDefault="00517ECF" w:rsidP="0013196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17ECF" w:rsidRPr="00847D9E" w:rsidTr="0013196F">
        <w:trPr>
          <w:trHeight w:val="468"/>
          <w:tblCellSpacing w:w="5" w:type="dxa"/>
          <w:jc w:val="center"/>
        </w:trPr>
        <w:tc>
          <w:tcPr>
            <w:tcW w:w="2854" w:type="dxa"/>
            <w:gridSpan w:val="3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16" w:type="dxa"/>
            <w:gridSpan w:val="3"/>
            <w:shd w:val="clear" w:color="auto" w:fill="auto"/>
          </w:tcPr>
          <w:p w:rsidR="00517EC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  <w:p w:rsidR="00517ECF" w:rsidRPr="00847D9E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上午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下午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晚上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3011" w:type="dxa"/>
            <w:shd w:val="clear" w:color="auto" w:fill="auto"/>
          </w:tcPr>
          <w:p w:rsidR="00517EC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  <w:p w:rsidR="00517ECF" w:rsidRPr="0013196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□A.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電腦基礎班　</w:t>
            </w: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□B.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數位生活班</w:t>
            </w:r>
          </w:p>
          <w:p w:rsidR="00517ECF" w:rsidRPr="00847D9E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□C.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平板電腦班　</w:t>
            </w: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□D.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智慧型手機班</w:t>
            </w:r>
          </w:p>
        </w:tc>
      </w:tr>
      <w:tr w:rsidR="00517ECF" w:rsidRPr="00847D9E" w:rsidTr="0013196F">
        <w:trPr>
          <w:trHeight w:val="314"/>
          <w:tblHeader/>
          <w:tblCellSpacing w:w="5" w:type="dxa"/>
          <w:jc w:val="center"/>
        </w:trPr>
        <w:tc>
          <w:tcPr>
            <w:tcW w:w="1539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80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517ECF" w:rsidRPr="00847D9E" w:rsidRDefault="00517ECF" w:rsidP="00517ECF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772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</w:tc>
        <w:tc>
          <w:tcPr>
            <w:tcW w:w="3213" w:type="dxa"/>
            <w:gridSpan w:val="2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 w:rsidR="00517ECF" w:rsidRPr="00847D9E" w:rsidTr="0013196F">
        <w:trPr>
          <w:trHeight w:hRule="exact" w:val="454"/>
          <w:tblCellSpacing w:w="5" w:type="dxa"/>
          <w:jc w:val="center"/>
        </w:trPr>
        <w:tc>
          <w:tcPr>
            <w:tcW w:w="1539" w:type="dxa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880" w:type="dxa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7ECF" w:rsidRPr="00847D9E" w:rsidRDefault="0013196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772" w:type="dxa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13" w:type="dxa"/>
            <w:gridSpan w:val="2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bookmarkStart w:id="8" w:name="_GoBack"/>
        <w:bookmarkEnd w:id="8"/>
      </w:tr>
      <w:tr w:rsidR="00C76116" w:rsidRPr="00847D9E" w:rsidTr="003D5D6E">
        <w:trPr>
          <w:trHeight w:val="258"/>
          <w:tblCellSpacing w:w="5" w:type="dxa"/>
          <w:jc w:val="center"/>
        </w:trPr>
        <w:tc>
          <w:tcPr>
            <w:tcW w:w="9560" w:type="dxa"/>
            <w:gridSpan w:val="9"/>
            <w:shd w:val="clear" w:color="auto" w:fill="FBD4B4"/>
            <w:vAlign w:val="center"/>
          </w:tcPr>
          <w:p w:rsidR="00C76116" w:rsidRPr="00051883" w:rsidRDefault="00C76116" w:rsidP="00051883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ind w:leftChars="-2" w:left="-5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051883">
              <w:rPr>
                <w:rFonts w:ascii="標楷體" w:eastAsia="標楷體" w:hAnsi="標楷體" w:hint="eastAsia"/>
                <w:sz w:val="18"/>
                <w:szCs w:val="18"/>
              </w:rPr>
              <w:t>哪裡人？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欄位2位數字說明(如為閩南及身障者請寫入</w:t>
            </w:r>
            <w:proofErr w:type="gramStart"/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”</w:t>
            </w:r>
            <w:proofErr w:type="gramEnd"/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2A</w:t>
            </w:r>
            <w:proofErr w:type="gramStart"/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”</w:t>
            </w:r>
            <w:proofErr w:type="gramEnd"/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 xml:space="preserve">)：本項調查係為提昇教學品質及服務學員之需要，請確實填寫。[第1欄位]： 1.客家 2.閩南 3.新住民 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外籍配偶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 xml:space="preserve"> 4.原住民 [第2欄位]： A.身心障礙者.  B.無</w:t>
            </w:r>
          </w:p>
        </w:tc>
      </w:tr>
      <w:tr w:rsidR="00C76116" w:rsidRPr="00847D9E" w:rsidTr="00C76116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vAlign w:val="center"/>
          </w:tcPr>
          <w:p w:rsidR="00C76116" w:rsidRPr="00847D9E" w:rsidRDefault="00096CBC" w:rsidP="00096CBC">
            <w:pPr>
              <w:keepLines/>
              <w:widowControl/>
              <w:suppressLineNumbers/>
              <w:suppressAutoHyphens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6116" w:rsidRPr="00847D9E" w:rsidTr="003D5D6E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shd w:val="clear" w:color="auto" w:fill="FBD4B4"/>
            <w:vAlign w:val="center"/>
          </w:tcPr>
          <w:p w:rsidR="00C76116" w:rsidRPr="00847D9E" w:rsidRDefault="00C76116" w:rsidP="00CA5433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住址</w:t>
            </w:r>
          </w:p>
        </w:tc>
      </w:tr>
      <w:tr w:rsidR="00C76116" w:rsidRPr="00847D9E" w:rsidTr="00C76116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vAlign w:val="center"/>
          </w:tcPr>
          <w:p w:rsidR="00C76116" w:rsidRPr="00847D9E" w:rsidRDefault="006D2C7D" w:rsidP="006D2C7D">
            <w:pPr>
              <w:keepLines/>
              <w:widowControl/>
              <w:suppressLineNumbers/>
              <w:suppressAutoHyphens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</w:tr>
    </w:tbl>
    <w:p w:rsidR="007451EA" w:rsidRPr="005B0F50" w:rsidRDefault="007451EA" w:rsidP="00235C1F">
      <w:pPr>
        <w:keepLines/>
        <w:widowControl/>
        <w:suppressLineNumbers/>
        <w:suppressAutoHyphens/>
        <w:topLinePunct/>
        <w:adjustRightInd w:val="0"/>
        <w:snapToGrid w:val="0"/>
        <w:spacing w:line="20" w:lineRule="exact"/>
      </w:pPr>
    </w:p>
    <w:sectPr w:rsidR="007451EA" w:rsidRPr="005B0F50" w:rsidSect="00235C1F">
      <w:footerReference w:type="even" r:id="rId9"/>
      <w:type w:val="continuous"/>
      <w:pgSz w:w="11906" w:h="16838"/>
      <w:pgMar w:top="426" w:right="926" w:bottom="426" w:left="900" w:header="540" w:footer="7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59" w:rsidRDefault="00006759">
      <w:r>
        <w:separator/>
      </w:r>
    </w:p>
  </w:endnote>
  <w:endnote w:type="continuationSeparator" w:id="0">
    <w:p w:rsidR="00006759" w:rsidRDefault="0000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59" w:rsidRDefault="00006759">
      <w:r>
        <w:separator/>
      </w:r>
    </w:p>
  </w:footnote>
  <w:footnote w:type="continuationSeparator" w:id="0">
    <w:p w:rsidR="00006759" w:rsidRDefault="0000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D9E"/>
    <w:rsid w:val="000021D7"/>
    <w:rsid w:val="00006759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35C1F"/>
    <w:rsid w:val="00247C4B"/>
    <w:rsid w:val="002867BA"/>
    <w:rsid w:val="002908B4"/>
    <w:rsid w:val="00293E7A"/>
    <w:rsid w:val="00295266"/>
    <w:rsid w:val="002A6D40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0B4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8CE"/>
    <w:rsid w:val="00773F86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542B"/>
    <w:rsid w:val="00885C75"/>
    <w:rsid w:val="00892649"/>
    <w:rsid w:val="008A04EE"/>
    <w:rsid w:val="008A27B1"/>
    <w:rsid w:val="008A77DE"/>
    <w:rsid w:val="008B0A84"/>
    <w:rsid w:val="008B21FA"/>
    <w:rsid w:val="008B77F5"/>
    <w:rsid w:val="008C4697"/>
    <w:rsid w:val="008C7740"/>
    <w:rsid w:val="008D0147"/>
    <w:rsid w:val="008D42FC"/>
    <w:rsid w:val="008D7C76"/>
    <w:rsid w:val="008E510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0677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5AE2-83EC-4DDF-86EF-404D1C0E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1394</Characters>
  <Application>Microsoft Office Word</Application>
  <DocSecurity>0</DocSecurity>
  <Lines>11</Lines>
  <Paragraphs>3</Paragraphs>
  <ScaleCrop>false</ScaleCrop>
  <Company>Net School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8113</cp:lastModifiedBy>
  <cp:revision>11</cp:revision>
  <cp:lastPrinted>2014-05-29T03:07:00Z</cp:lastPrinted>
  <dcterms:created xsi:type="dcterms:W3CDTF">2014-05-29T03:02:00Z</dcterms:created>
  <dcterms:modified xsi:type="dcterms:W3CDTF">2015-05-01T06:55:00Z</dcterms:modified>
</cp:coreProperties>
</file>