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E2E" w:rsidRDefault="00276B98">
      <w:pPr>
        <w:widowControl/>
        <w:jc w:val="center"/>
      </w:pPr>
      <w:bookmarkStart w:id="0" w:name="_GoBack"/>
      <w:bookmarkEnd w:id="0"/>
      <w:proofErr w:type="gramStart"/>
      <w:r>
        <w:rPr>
          <w:rFonts w:eastAsia="標楷體"/>
          <w:b/>
        </w:rPr>
        <w:t>臺</w:t>
      </w:r>
      <w:proofErr w:type="gramEnd"/>
      <w:r>
        <w:rPr>
          <w:rFonts w:eastAsia="標楷體"/>
          <w:b/>
        </w:rPr>
        <w:t>南市</w:t>
      </w:r>
      <w:r>
        <w:rPr>
          <w:rFonts w:eastAsia="標楷體"/>
          <w:b/>
        </w:rPr>
        <w:t>109</w:t>
      </w:r>
      <w:proofErr w:type="gramStart"/>
      <w:r>
        <w:rPr>
          <w:rFonts w:eastAsia="標楷體"/>
          <w:b/>
        </w:rPr>
        <w:t>學年度精進</w:t>
      </w:r>
      <w:proofErr w:type="gramEnd"/>
      <w:r>
        <w:rPr>
          <w:rFonts w:eastAsia="標楷體"/>
          <w:b/>
        </w:rPr>
        <w:t>國民中小學教師教學專業與課程品質整體推動計畫</w:t>
      </w:r>
    </w:p>
    <w:p w:rsidR="00310E2E" w:rsidRDefault="00276B98">
      <w:pPr>
        <w:pStyle w:val="1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國民教育輔導團自然科學領域輔導小組</w:t>
      </w:r>
    </w:p>
    <w:p w:rsidR="00310E2E" w:rsidRDefault="00276B98">
      <w:pPr>
        <w:pStyle w:val="1"/>
        <w:spacing w:line="434" w:lineRule="auto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「國小自然科學領域</w:t>
      </w:r>
      <w:r>
        <w:rPr>
          <w:rFonts w:ascii="標楷體" w:eastAsia="標楷體" w:hAnsi="標楷體" w:cs="標楷體"/>
          <w:b/>
        </w:rPr>
        <w:t>--</w:t>
      </w:r>
      <w:r>
        <w:rPr>
          <w:rFonts w:ascii="標楷體" w:eastAsia="標楷體" w:hAnsi="標楷體" w:cs="標楷體"/>
          <w:b/>
        </w:rPr>
        <w:t>非專長教師增能研習」實施計畫</w:t>
      </w: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（一）教育部補助直轄市、縣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政府精進國民中學及國民小學教師教學專業與課程品質作業要點。</w:t>
      </w:r>
    </w:p>
    <w:p w:rsidR="00310E2E" w:rsidRDefault="00276B98">
      <w:pPr>
        <w:snapToGrid w:val="0"/>
        <w:ind w:left="720" w:hanging="720"/>
      </w:pP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r>
        <w:rPr>
          <w:rFonts w:eastAsia="標楷體"/>
        </w:rPr>
        <w:t>109</w:t>
      </w:r>
      <w:proofErr w:type="gramStart"/>
      <w:r>
        <w:rPr>
          <w:rFonts w:ascii="標楷體" w:eastAsia="標楷體" w:hAnsi="標楷體"/>
        </w:rPr>
        <w:t>學年度精</w:t>
      </w:r>
      <w:proofErr w:type="gramEnd"/>
      <w:r>
        <w:rPr>
          <w:rFonts w:ascii="標楷體" w:eastAsia="標楷體" w:hAnsi="標楷體"/>
        </w:rPr>
        <w:t>進國民中小學教師教學專業與課程品質整體推動計畫。</w:t>
      </w:r>
    </w:p>
    <w:p w:rsidR="00310E2E" w:rsidRDefault="00276B98">
      <w:pPr>
        <w:snapToGrid w:val="0"/>
        <w:ind w:left="720" w:hanging="720"/>
      </w:pPr>
      <w:r>
        <w:rPr>
          <w:rFonts w:ascii="標楷體" w:eastAsia="標楷體" w:hAnsi="標楷體"/>
        </w:rPr>
        <w:t>（三）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r>
        <w:rPr>
          <w:rFonts w:eastAsia="標楷體"/>
        </w:rPr>
        <w:t>109</w:t>
      </w:r>
      <w:r>
        <w:rPr>
          <w:rFonts w:ascii="標楷體" w:eastAsia="標楷體" w:hAnsi="標楷體"/>
        </w:rPr>
        <w:t>學年度國民教育輔導團整體團務計畫。</w:t>
      </w:r>
    </w:p>
    <w:p w:rsidR="00310E2E" w:rsidRDefault="00310E2E">
      <w:pPr>
        <w:snapToGrid w:val="0"/>
        <w:rPr>
          <w:rFonts w:ascii="標楷體" w:eastAsia="標楷體" w:hAnsi="標楷體"/>
        </w:rPr>
      </w:pP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二、現況分析與需求評估</w:t>
      </w:r>
    </w:p>
    <w:p w:rsidR="00310E2E" w:rsidRDefault="00276B98">
      <w:pPr>
        <w:numPr>
          <w:ilvl w:val="0"/>
          <w:numId w:val="1"/>
        </w:numPr>
        <w:ind w:left="1134" w:hanging="567"/>
      </w:pPr>
      <w:r>
        <w:rPr>
          <w:rFonts w:ascii="標楷體" w:eastAsia="標楷體" w:hAnsi="標楷體"/>
        </w:rPr>
        <w:t>自九年一貫課程實施以來，學校</w:t>
      </w:r>
      <w:r>
        <w:rPr>
          <w:rFonts w:ascii="標楷體" w:eastAsia="標楷體" w:hAnsi="標楷體"/>
          <w:color w:val="auto"/>
        </w:rPr>
        <w:t>自然領域</w:t>
      </w:r>
      <w:r>
        <w:rPr>
          <w:rFonts w:ascii="標楷體" w:eastAsia="標楷體" w:hAnsi="標楷體"/>
        </w:rPr>
        <w:t>授課教師的教學與聘任，受限於國小教師編制、領域授課節數及校內職務派任辦法，國小</w:t>
      </w:r>
      <w:r>
        <w:rPr>
          <w:rFonts w:ascii="標楷體" w:eastAsia="標楷體" w:hAnsi="標楷體"/>
          <w:color w:val="auto"/>
        </w:rPr>
        <w:t>自然領域</w:t>
      </w:r>
      <w:r>
        <w:rPr>
          <w:rFonts w:ascii="標楷體" w:eastAsia="標楷體" w:hAnsi="標楷體"/>
        </w:rPr>
        <w:t>教師來源無法專長專用。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南市國教輔導團國小</w:t>
      </w:r>
      <w:r>
        <w:rPr>
          <w:rFonts w:ascii="標楷體" w:eastAsia="標楷體" w:hAnsi="標楷體"/>
          <w:color w:val="auto"/>
        </w:rPr>
        <w:t>自然領域</w:t>
      </w:r>
      <w:r>
        <w:rPr>
          <w:rFonts w:ascii="標楷體" w:eastAsia="標楷體" w:hAnsi="標楷體"/>
        </w:rPr>
        <w:t>小組多年來走訪全市各國小，進行分區到校諮詢服務，在過程中了解各校普遍出現</w:t>
      </w:r>
      <w:r>
        <w:rPr>
          <w:rFonts w:ascii="標楷體" w:eastAsia="標楷體" w:hAnsi="標楷體"/>
          <w:color w:val="auto"/>
        </w:rPr>
        <w:t>自然領域</w:t>
      </w:r>
      <w:r>
        <w:rPr>
          <w:rFonts w:ascii="標楷體" w:eastAsia="標楷體" w:hAnsi="標楷體"/>
        </w:rPr>
        <w:t>任課教師由非相關科系背景出身之教師擔任，縱擔任</w:t>
      </w:r>
      <w:r>
        <w:rPr>
          <w:rFonts w:ascii="標楷體" w:eastAsia="標楷體" w:hAnsi="標楷體"/>
          <w:color w:val="auto"/>
        </w:rPr>
        <w:t>自然領域</w:t>
      </w:r>
      <w:r>
        <w:rPr>
          <w:rFonts w:ascii="標楷體" w:eastAsia="標楷體" w:hAnsi="標楷體"/>
        </w:rPr>
        <w:t>教師，也往往無法透過專業成長管道，精進教學；甚或不知精進教學的方向或架構，也無從促進專業成長。</w:t>
      </w:r>
    </w:p>
    <w:p w:rsidR="00310E2E" w:rsidRDefault="00276B98">
      <w:pPr>
        <w:numPr>
          <w:ilvl w:val="0"/>
          <w:numId w:val="1"/>
        </w:numPr>
        <w:ind w:left="1134" w:hanging="567"/>
      </w:pPr>
      <w:r>
        <w:rPr>
          <w:rFonts w:eastAsia="標楷體"/>
        </w:rPr>
        <w:t>108</w:t>
      </w:r>
      <w:proofErr w:type="gramStart"/>
      <w:r>
        <w:rPr>
          <w:rFonts w:eastAsia="標楷體"/>
        </w:rPr>
        <w:t>課綱已</w:t>
      </w:r>
      <w:proofErr w:type="gramEnd"/>
      <w:r>
        <w:rPr>
          <w:rFonts w:eastAsia="標楷體"/>
        </w:rPr>
        <w:t>施行，其所強調的</w:t>
      </w:r>
      <w:r>
        <w:rPr>
          <w:rFonts w:eastAsia="標楷體"/>
          <w:spacing w:val="6"/>
          <w:shd w:val="clear" w:color="auto" w:fill="FFFFFF"/>
        </w:rPr>
        <w:t>素養同時涵蓋</w:t>
      </w:r>
      <w:r>
        <w:rPr>
          <w:rFonts w:eastAsia="標楷體"/>
          <w:spacing w:val="6"/>
          <w:shd w:val="clear" w:color="auto" w:fill="FFFFFF"/>
        </w:rPr>
        <w:t>Comp</w:t>
      </w:r>
      <w:r>
        <w:rPr>
          <w:rFonts w:eastAsia="標楷體"/>
          <w:spacing w:val="6"/>
          <w:shd w:val="clear" w:color="auto" w:fill="FFFFFF"/>
        </w:rPr>
        <w:t>etence</w:t>
      </w:r>
      <w:r>
        <w:rPr>
          <w:rFonts w:eastAsia="標楷體"/>
          <w:spacing w:val="6"/>
          <w:shd w:val="clear" w:color="auto" w:fill="FFFFFF"/>
        </w:rPr>
        <w:t>及</w:t>
      </w:r>
      <w:r>
        <w:rPr>
          <w:rFonts w:eastAsia="標楷體"/>
          <w:spacing w:val="6"/>
          <w:shd w:val="clear" w:color="auto" w:fill="FFFFFF"/>
        </w:rPr>
        <w:t>Literacy</w:t>
      </w:r>
      <w:r>
        <w:rPr>
          <w:rFonts w:eastAsia="標楷體"/>
          <w:spacing w:val="6"/>
          <w:shd w:val="clear" w:color="auto" w:fill="FFFFFF"/>
        </w:rPr>
        <w:t>的概念，意指一個人接受教育後學習獲得的知識（</w:t>
      </w:r>
      <w:r>
        <w:rPr>
          <w:rFonts w:eastAsia="標楷體"/>
          <w:spacing w:val="6"/>
          <w:shd w:val="clear" w:color="auto" w:fill="FFFFFF"/>
        </w:rPr>
        <w:t>Knowledge</w:t>
      </w:r>
      <w:r>
        <w:rPr>
          <w:rFonts w:eastAsia="標楷體"/>
          <w:spacing w:val="6"/>
          <w:shd w:val="clear" w:color="auto" w:fill="FFFFFF"/>
        </w:rPr>
        <w:t>）、能力（</w:t>
      </w:r>
      <w:r>
        <w:rPr>
          <w:rFonts w:eastAsia="標楷體"/>
          <w:spacing w:val="6"/>
          <w:shd w:val="clear" w:color="auto" w:fill="FFFFFF"/>
        </w:rPr>
        <w:t>Ability</w:t>
      </w:r>
      <w:r>
        <w:rPr>
          <w:rFonts w:eastAsia="標楷體"/>
          <w:spacing w:val="6"/>
          <w:shd w:val="clear" w:color="auto" w:fill="FFFFFF"/>
        </w:rPr>
        <w:t>）與態度（</w:t>
      </w:r>
      <w:r>
        <w:rPr>
          <w:rFonts w:eastAsia="標楷體"/>
          <w:spacing w:val="6"/>
          <w:shd w:val="clear" w:color="auto" w:fill="FFFFFF"/>
        </w:rPr>
        <w:t>Attitude</w:t>
      </w:r>
      <w:r>
        <w:rPr>
          <w:rFonts w:eastAsia="標楷體"/>
          <w:spacing w:val="6"/>
          <w:shd w:val="clear" w:color="auto" w:fill="FFFFFF"/>
        </w:rPr>
        <w:t>），能夠在現在或未來積極地回應個人或社會生活需求的綜合狀態。因此，如何與教師同行，增進教師的知能，是輔導團發展的重要方向。</w:t>
      </w:r>
    </w:p>
    <w:p w:rsidR="00310E2E" w:rsidRDefault="00276B98">
      <w:pPr>
        <w:numPr>
          <w:ilvl w:val="0"/>
          <w:numId w:val="1"/>
        </w:numPr>
        <w:ind w:left="1134" w:hanging="567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上述自然領域教學的困境，誠為本市自然領域教學亟待解決的問題。本計畫的需求，即在藉由鼓勵未具備專業背景教師，能積極參與本團所辦理的研習，透過輔導講師的專業引領，期能提升本市國小自然領域教師專業，進而提升學生學習品質。</w:t>
      </w:r>
    </w:p>
    <w:p w:rsidR="00310E2E" w:rsidRDefault="00276B98">
      <w:pPr>
        <w:numPr>
          <w:ilvl w:val="0"/>
          <w:numId w:val="1"/>
        </w:numPr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探究與實作是</w:t>
      </w:r>
      <w:proofErr w:type="gramStart"/>
      <w:r>
        <w:rPr>
          <w:rFonts w:ascii="標楷體" w:eastAsia="標楷體" w:hAnsi="標楷體"/>
        </w:rPr>
        <w:t>新課綱</w:t>
      </w:r>
      <w:proofErr w:type="gramEnd"/>
      <w:r>
        <w:rPr>
          <w:rFonts w:ascii="標楷體" w:eastAsia="標楷體" w:hAnsi="標楷體"/>
        </w:rPr>
        <w:t>十分重視的科</w:t>
      </w:r>
      <w:r>
        <w:rPr>
          <w:rFonts w:ascii="標楷體" w:eastAsia="標楷體" w:hAnsi="標楷體"/>
        </w:rPr>
        <w:t>學素養，如何落實實驗是老師所面對的一大課題，於是提供老師簡易方便的教具，協助老師容易進行探究教學，實為重要；甚至讓教具成為每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學生唾手可得的工具，隨時可進行實驗操作與觀察。</w:t>
      </w:r>
    </w:p>
    <w:p w:rsidR="00310E2E" w:rsidRDefault="00310E2E">
      <w:pPr>
        <w:snapToGrid w:val="0"/>
        <w:rPr>
          <w:rFonts w:ascii="標楷體" w:eastAsia="標楷體" w:hAnsi="標楷體"/>
        </w:rPr>
      </w:pP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三、目的：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（一）精進本市國小自然科學領域非專長授課教師之教學專業能力，強化教師將</w:t>
      </w:r>
      <w:proofErr w:type="gramStart"/>
      <w:r>
        <w:rPr>
          <w:rFonts w:ascii="標楷體" w:eastAsia="標楷體" w:hAnsi="標楷體"/>
        </w:rPr>
        <w:t>自然領綱素養</w:t>
      </w:r>
      <w:proofErr w:type="gramEnd"/>
      <w:r>
        <w:rPr>
          <w:rFonts w:ascii="標楷體" w:eastAsia="標楷體" w:hAnsi="標楷體"/>
        </w:rPr>
        <w:t>內涵轉化於有效教學、多元評量教學策略與方法之專業知能，以提升教學品質。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（二）協助非自然專長教師瞭解自然科學領域綱要與素養指標內容，增加專業</w:t>
      </w:r>
      <w:r>
        <w:rPr>
          <w:rFonts w:ascii="標楷體" w:eastAsia="標楷體" w:hAnsi="標楷體"/>
        </w:rPr>
        <w:lastRenderedPageBreak/>
        <w:t>智能，規劃課程設計，提升教學技巧。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（三）藉由實際參與課程解析，提昇自然教師教學知能，並透過實驗操作與教具製作以達到充實教學內容，並結合理論與實務，活化教材教法。</w:t>
      </w: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四、辦理單位：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（一）指導單位：教育部國民及學前教育署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（三）承辦單位：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南市國民教育輔導團自然科學領域輔導小組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南市永康區大橋國小、臺南市</w:t>
      </w:r>
      <w:proofErr w:type="gramStart"/>
      <w:r>
        <w:rPr>
          <w:rFonts w:ascii="標楷體" w:eastAsia="標楷體" w:hAnsi="標楷體"/>
        </w:rPr>
        <w:t>後壁區</w:t>
      </w:r>
      <w:proofErr w:type="gramEnd"/>
      <w:r>
        <w:rPr>
          <w:rFonts w:ascii="標楷體" w:eastAsia="標楷體" w:hAnsi="標楷體"/>
        </w:rPr>
        <w:t>安溪國小。</w:t>
      </w:r>
    </w:p>
    <w:p w:rsidR="00310E2E" w:rsidRDefault="00310E2E">
      <w:pPr>
        <w:snapToGrid w:val="0"/>
        <w:rPr>
          <w:rFonts w:ascii="標楷體" w:eastAsia="標楷體" w:hAnsi="標楷體"/>
        </w:rPr>
      </w:pP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五、辦理日期（時間、時數等）及地點</w:t>
      </w:r>
    </w:p>
    <w:tbl>
      <w:tblPr>
        <w:tblW w:w="88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980"/>
        <w:gridCol w:w="1980"/>
        <w:gridCol w:w="900"/>
        <w:gridCol w:w="1260"/>
        <w:gridCol w:w="1589"/>
      </w:tblGrid>
      <w:tr w:rsidR="00310E2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辦理日期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辦理地點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310E2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溪北場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</w:pPr>
            <w:r>
              <w:rPr>
                <w:rFonts w:eastAsia="標楷體"/>
              </w:rPr>
              <w:t>110.01.26(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</w:pPr>
            <w:r>
              <w:rPr>
                <w:rFonts w:eastAsia="標楷體"/>
              </w:rPr>
              <w:t>08:30~16:30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安溪國小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禮堂</w:t>
            </w:r>
          </w:p>
        </w:tc>
      </w:tr>
      <w:tr w:rsidR="00310E2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溪南場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110.01.27(</w:t>
            </w:r>
            <w:r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</w:pPr>
            <w:r>
              <w:rPr>
                <w:rFonts w:eastAsia="標楷體"/>
              </w:rPr>
              <w:t>08:30~16:30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大橋國小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自然教室四</w:t>
            </w:r>
          </w:p>
        </w:tc>
      </w:tr>
    </w:tbl>
    <w:p w:rsidR="00310E2E" w:rsidRDefault="00310E2E">
      <w:pPr>
        <w:snapToGrid w:val="0"/>
        <w:rPr>
          <w:rFonts w:ascii="標楷體" w:eastAsia="標楷體" w:hAnsi="標楷體"/>
        </w:rPr>
      </w:pP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六、參加對象與人數：</w:t>
      </w: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本市各國小自然科學領域非專長授課教師。</w:t>
      </w: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本市各國小自然科學領域教師或對本研習主題有興趣的國小教師。</w:t>
      </w:r>
    </w:p>
    <w:p w:rsidR="00310E2E" w:rsidRDefault="00276B98">
      <w:pPr>
        <w:snapToGrid w:val="0"/>
      </w:pPr>
      <w:r>
        <w:rPr>
          <w:rFonts w:eastAsia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eastAsia="標楷體"/>
        </w:rPr>
        <w:t>每場次錄取</w:t>
      </w:r>
      <w:r>
        <w:rPr>
          <w:rFonts w:eastAsia="標楷體"/>
        </w:rPr>
        <w:t>30</w:t>
      </w:r>
      <w:r>
        <w:rPr>
          <w:rFonts w:eastAsia="標楷體"/>
        </w:rPr>
        <w:t>人請</w:t>
      </w:r>
      <w:proofErr w:type="gramStart"/>
      <w:r>
        <w:rPr>
          <w:rFonts w:eastAsia="標楷體"/>
        </w:rPr>
        <w:t>逕</w:t>
      </w:r>
      <w:proofErr w:type="gramEnd"/>
      <w:r>
        <w:rPr>
          <w:rFonts w:eastAsia="標楷體"/>
        </w:rPr>
        <w:t>至臺南市教育局資訊中心學習護照系統報名。</w:t>
      </w:r>
    </w:p>
    <w:p w:rsidR="00310E2E" w:rsidRDefault="00276B98">
      <w:pPr>
        <w:snapToGrid w:val="0"/>
      </w:pPr>
      <w:r>
        <w:rPr>
          <w:rFonts w:eastAsia="標楷體"/>
        </w:rPr>
        <w:t xml:space="preserve">      </w:t>
      </w:r>
      <w:r>
        <w:rPr>
          <w:rFonts w:eastAsia="標楷體"/>
        </w:rPr>
        <w:t>開課單位：大橋國小，溪北場次：</w:t>
      </w:r>
      <w:r>
        <w:t>247893</w:t>
      </w:r>
      <w:r>
        <w:t>，</w:t>
      </w:r>
      <w:r>
        <w:rPr>
          <w:rFonts w:eastAsia="標楷體"/>
        </w:rPr>
        <w:t>溪南場次：</w:t>
      </w:r>
      <w:r>
        <w:t>247896</w:t>
      </w:r>
      <w:r>
        <w:rPr>
          <w:rFonts w:eastAsia="標楷體"/>
        </w:rPr>
        <w:t>。</w:t>
      </w:r>
    </w:p>
    <w:p w:rsidR="00310E2E" w:rsidRDefault="00310E2E">
      <w:pPr>
        <w:snapToGrid w:val="0"/>
        <w:rPr>
          <w:rFonts w:ascii="標楷體" w:eastAsia="標楷體" w:hAnsi="標楷體"/>
        </w:rPr>
      </w:pP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七、研習內容：</w:t>
      </w:r>
    </w:p>
    <w:p w:rsidR="00310E2E" w:rsidRDefault="00276B98">
      <w:pPr>
        <w:snapToGrid w:val="0"/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26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溪北場次：安溪國小（</w:t>
      </w:r>
      <w:r>
        <w:rPr>
          <w:rFonts w:ascii="標楷體" w:eastAsia="標楷體" w:hAnsi="標楷體"/>
        </w:rPr>
        <w:t>請攜帶任教年段之課本或教師手冊</w:t>
      </w:r>
      <w:r>
        <w:rPr>
          <w:rFonts w:eastAsia="標楷體"/>
        </w:rPr>
        <w:t>）</w:t>
      </w:r>
    </w:p>
    <w:tbl>
      <w:tblPr>
        <w:tblW w:w="8637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3960"/>
        <w:gridCol w:w="2137"/>
        <w:gridCol w:w="992"/>
      </w:tblGrid>
      <w:tr w:rsidR="00310E2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08:30-08:50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08:50-10:20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生物相關單元解析與實作－</w:t>
            </w:r>
          </w:p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植物結構、繁殖、分類與顯微鏡操作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大成國中蔡智恆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10:20-10:30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茶敘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10:30-12:00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地球科學相關單元解析與實作－</w:t>
            </w:r>
          </w:p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太陽、月亮與天氣的變化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佳里國中林宗祺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13:00-14:30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化學相關單元解析與實作－</w:t>
            </w:r>
          </w:p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溶解、稀釋、</w:t>
            </w:r>
            <w:proofErr w:type="gramStart"/>
            <w:r>
              <w:rPr>
                <w:rFonts w:ascii="標楷體" w:eastAsia="標楷體" w:hAnsi="標楷體"/>
              </w:rPr>
              <w:t>酸鹼與導電性</w:t>
            </w:r>
            <w:proofErr w:type="gramEnd"/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土城高中黃慰華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14:30-14:40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茶敘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14:40-16:10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物理相關單元解析與實作－</w:t>
            </w:r>
          </w:p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空氣、光、力學、電磁學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安順國中孫培明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16:10-16:30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0E2E" w:rsidRDefault="00276B98">
      <w:pPr>
        <w:snapToGrid w:val="0"/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溪南場次：大橋國小（</w:t>
      </w:r>
      <w:r>
        <w:rPr>
          <w:rFonts w:ascii="標楷體" w:eastAsia="標楷體" w:hAnsi="標楷體"/>
        </w:rPr>
        <w:t>請攜帶任教年段之課本或教師手冊</w:t>
      </w:r>
      <w:r>
        <w:rPr>
          <w:rFonts w:eastAsia="標楷體"/>
        </w:rPr>
        <w:t>）</w:t>
      </w:r>
    </w:p>
    <w:tbl>
      <w:tblPr>
        <w:tblW w:w="8637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3960"/>
        <w:gridCol w:w="2137"/>
        <w:gridCol w:w="992"/>
      </w:tblGrid>
      <w:tr w:rsidR="00310E2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E2E" w:rsidRDefault="00276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08:30-08:50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08:50-10:20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生物相關單元解析與實作－</w:t>
            </w:r>
          </w:p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植物結構、繁殖、分類與顯微鏡操作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大成國中蔡智恆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10:20-10:30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茶敘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10:30-12:00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地球科學相關單元解析與實作－</w:t>
            </w:r>
          </w:p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太陽、月亮與天氣的變化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佳里國中林宗祺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13:00-14:30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化學相關單元解析與實作－</w:t>
            </w:r>
          </w:p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溶解、稀釋、</w:t>
            </w:r>
            <w:proofErr w:type="gramStart"/>
            <w:r>
              <w:rPr>
                <w:rFonts w:ascii="標楷體" w:eastAsia="標楷體" w:hAnsi="標楷體"/>
              </w:rPr>
              <w:t>酸鹼與導電性</w:t>
            </w:r>
            <w:proofErr w:type="gramEnd"/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土城高中黃慰華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14:30-14:40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茶敘</w:t>
            </w:r>
          </w:p>
        </w:tc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14:40-16:10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物理相關單元解析與實作－</w:t>
            </w:r>
          </w:p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空氣、光、力學、電磁學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安順國中孫培明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0E2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16:10-16:30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276B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自然輔導團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0E2E" w:rsidRDefault="00310E2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備註：授課順序會視實際情況略作調整。</w:t>
      </w:r>
    </w:p>
    <w:p w:rsidR="00310E2E" w:rsidRDefault="00310E2E">
      <w:pPr>
        <w:snapToGrid w:val="0"/>
        <w:rPr>
          <w:rFonts w:ascii="標楷體" w:eastAsia="標楷體" w:hAnsi="標楷體"/>
        </w:rPr>
      </w:pPr>
    </w:p>
    <w:p w:rsidR="00310E2E" w:rsidRDefault="00276B98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八、經費來源與概算：教育部國民及學前教育署補助辦理</w:t>
      </w:r>
      <w:r>
        <w:rPr>
          <w:rFonts w:ascii="標楷體" w:eastAsia="標楷體" w:hAnsi="標楷體"/>
        </w:rPr>
        <w:t>109</w:t>
      </w:r>
      <w:proofErr w:type="gramStart"/>
      <w:r>
        <w:rPr>
          <w:rFonts w:ascii="標楷體" w:eastAsia="標楷體" w:hAnsi="標楷體"/>
        </w:rPr>
        <w:t>學年度精進</w:t>
      </w:r>
      <w:proofErr w:type="gramEnd"/>
      <w:r>
        <w:rPr>
          <w:rFonts w:ascii="標楷體" w:eastAsia="標楷體" w:hAnsi="標楷體"/>
        </w:rPr>
        <w:t>國民中學及國民小學教師教學專業與課程品質整體推動計畫經費。</w:t>
      </w:r>
    </w:p>
    <w:p w:rsidR="00310E2E" w:rsidRDefault="00310E2E">
      <w:pPr>
        <w:snapToGrid w:val="0"/>
        <w:rPr>
          <w:rFonts w:ascii="標楷體" w:eastAsia="標楷體" w:hAnsi="標楷體"/>
        </w:rPr>
      </w:pP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九、成效評估之實施：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（一）觀察法：以實際觀察與紀錄，了解教師對增能課程的認識，及實驗操作的情形。</w:t>
      </w:r>
    </w:p>
    <w:p w:rsidR="00310E2E" w:rsidRDefault="00276B98">
      <w:pPr>
        <w:snapToGrid w:val="0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（二）問卷調查法：了解教師對增能課程實施的看法。</w:t>
      </w:r>
    </w:p>
    <w:p w:rsidR="00310E2E" w:rsidRDefault="00310E2E">
      <w:pPr>
        <w:snapToGrid w:val="0"/>
        <w:rPr>
          <w:rFonts w:ascii="標楷體" w:eastAsia="標楷體" w:hAnsi="標楷體"/>
        </w:rPr>
      </w:pPr>
    </w:p>
    <w:p w:rsidR="00310E2E" w:rsidRDefault="00276B9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十、預期效益：</w:t>
      </w:r>
    </w:p>
    <w:p w:rsidR="00310E2E" w:rsidRDefault="00276B98">
      <w:pPr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透過理論解說以及實驗實作，提升教師的專業知能。</w:t>
      </w:r>
    </w:p>
    <w:p w:rsidR="00310E2E" w:rsidRDefault="00276B98">
      <w:pPr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提供活化教學策略示範，達到自然非專長領域教師增能的目的。</w:t>
      </w:r>
    </w:p>
    <w:p w:rsidR="00310E2E" w:rsidRDefault="00276B98">
      <w:pPr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提供自然領域教師有效之教學策略，提升教師的教學品質與學生之學習興趣。</w:t>
      </w:r>
    </w:p>
    <w:p w:rsidR="00310E2E" w:rsidRDefault="00276B98">
      <w:pPr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藉由增能研習，創造教師教學對話、省思的機會，以達精進教學之效。</w:t>
      </w:r>
    </w:p>
    <w:p w:rsidR="00310E2E" w:rsidRDefault="00310E2E">
      <w:pPr>
        <w:snapToGrid w:val="0"/>
        <w:rPr>
          <w:rFonts w:ascii="標楷體" w:eastAsia="標楷體" w:hAnsi="標楷體"/>
        </w:rPr>
      </w:pPr>
    </w:p>
    <w:p w:rsidR="00310E2E" w:rsidRDefault="00276B98">
      <w:pPr>
        <w:snapToGrid w:val="0"/>
      </w:pPr>
      <w:r>
        <w:rPr>
          <w:rFonts w:eastAsia="標楷體"/>
        </w:rPr>
        <w:t>十一、計畫聯絡人：大橋國小李麗菁老師</w:t>
      </w:r>
      <w:r>
        <w:rPr>
          <w:rFonts w:eastAsia="標楷體"/>
        </w:rPr>
        <w:t>0920680258</w:t>
      </w:r>
    </w:p>
    <w:p w:rsidR="00310E2E" w:rsidRDefault="00310E2E">
      <w:pPr>
        <w:snapToGrid w:val="0"/>
        <w:rPr>
          <w:rFonts w:ascii="標楷體" w:eastAsia="標楷體" w:hAnsi="標楷體"/>
          <w:sz w:val="28"/>
          <w:szCs w:val="28"/>
        </w:rPr>
      </w:pPr>
    </w:p>
    <w:p w:rsidR="00310E2E" w:rsidRDefault="00310E2E">
      <w:pPr>
        <w:snapToGrid w:val="0"/>
        <w:rPr>
          <w:rFonts w:ascii="標楷體" w:eastAsia="標楷體" w:hAnsi="標楷體"/>
          <w:sz w:val="28"/>
          <w:szCs w:val="28"/>
        </w:rPr>
      </w:pPr>
    </w:p>
    <w:p w:rsidR="00310E2E" w:rsidRDefault="00276B98">
      <w:pPr>
        <w:snapToGrid w:val="0"/>
      </w:pPr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機關首長</w:t>
      </w:r>
    </w:p>
    <w:sectPr w:rsidR="00310E2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98" w:rsidRDefault="00276B98">
      <w:r>
        <w:separator/>
      </w:r>
    </w:p>
  </w:endnote>
  <w:endnote w:type="continuationSeparator" w:id="0">
    <w:p w:rsidR="00276B98" w:rsidRDefault="0027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E4" w:rsidRDefault="00276B9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A431E4" w:rsidRDefault="00276B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98" w:rsidRDefault="00276B98">
      <w:r>
        <w:separator/>
      </w:r>
    </w:p>
  </w:footnote>
  <w:footnote w:type="continuationSeparator" w:id="0">
    <w:p w:rsidR="00276B98" w:rsidRDefault="0027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799E"/>
    <w:multiLevelType w:val="multilevel"/>
    <w:tmpl w:val="F2541B72"/>
    <w:lvl w:ilvl="0">
      <w:start w:val="1"/>
      <w:numFmt w:val="taiwaneseCountingThousand"/>
      <w:lvlText w:val="(%1)"/>
      <w:lvlJc w:val="left"/>
      <w:pPr>
        <w:ind w:left="76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0E2E"/>
    <w:rsid w:val="00276B98"/>
    <w:rsid w:val="00310E2E"/>
    <w:rsid w:val="009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F7DC0-B9C1-4EA4-9C50-B8411CA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臺南市107學年度精進國民中小學教師教學專業與課程品質整體推動計畫</dc:title>
  <dc:subject/>
  <dc:creator>user</dc:creator>
  <dc:description/>
  <cp:lastModifiedBy>5A88</cp:lastModifiedBy>
  <cp:revision>2</cp:revision>
  <dcterms:created xsi:type="dcterms:W3CDTF">2020-12-28T04:57:00Z</dcterms:created>
  <dcterms:modified xsi:type="dcterms:W3CDTF">2020-12-28T04:57:00Z</dcterms:modified>
</cp:coreProperties>
</file>