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FF" w:rsidRDefault="00AE4321">
      <w:r>
        <w:rPr>
          <w:rFonts w:ascii="標楷體" w:eastAsia="標楷體" w:hAnsi="標楷體"/>
          <w:color w:val="000000"/>
          <w:sz w:val="26"/>
          <w:szCs w:val="26"/>
          <w:lang w:eastAsia="zh-TW"/>
        </w:rPr>
        <w:t>臺</w:t>
      </w:r>
      <w:r>
        <w:rPr>
          <w:rFonts w:ascii="標楷體" w:eastAsia="標楷體" w:hAnsi="標楷體"/>
          <w:color w:val="000000"/>
          <w:sz w:val="26"/>
          <w:szCs w:val="26"/>
          <w:lang w:eastAsia="zh-HK"/>
        </w:rPr>
        <w:t>南</w:t>
      </w:r>
      <w:r>
        <w:rPr>
          <w:rFonts w:ascii="Times New Roman" w:eastAsia="標楷體" w:hAnsi="Times New Roman"/>
          <w:color w:val="000000"/>
          <w:sz w:val="26"/>
          <w:szCs w:val="26"/>
          <w:lang w:eastAsia="zh-TW"/>
        </w:rPr>
        <w:t>市</w:t>
      </w:r>
      <w:r>
        <w:rPr>
          <w:rFonts w:ascii="Times New Roman" w:eastAsia="標楷體" w:hAnsi="Times New Roman"/>
          <w:color w:val="000000"/>
          <w:sz w:val="26"/>
          <w:szCs w:val="26"/>
          <w:lang w:eastAsia="zh-TW"/>
        </w:rPr>
        <w:t>109</w:t>
      </w:r>
      <w:r>
        <w:rPr>
          <w:rFonts w:ascii="Times New Roman" w:eastAsia="標楷體" w:hAnsi="Times New Roman"/>
          <w:color w:val="000000"/>
          <w:sz w:val="26"/>
          <w:szCs w:val="26"/>
          <w:lang w:eastAsia="zh-TW"/>
        </w:rPr>
        <w:t>學年度精進國民中學及國民小學教師教學專業與課程品質整體推動計畫</w:t>
      </w:r>
    </w:p>
    <w:p w:rsidR="003027FF" w:rsidRDefault="00AE4321">
      <w:pPr>
        <w:spacing w:before="60" w:after="60"/>
        <w:jc w:val="center"/>
      </w:pPr>
      <w:r>
        <w:rPr>
          <w:rFonts w:ascii="Times New Roman" w:eastAsia="標楷體" w:hAnsi="Times New Roman"/>
          <w:color w:val="000000"/>
          <w:sz w:val="28"/>
          <w:szCs w:val="28"/>
          <w:lang w:eastAsia="zh-TW"/>
        </w:rPr>
        <w:t>國民教育輔導團語文學習領域國中小本土語文輔導小組</w:t>
      </w:r>
    </w:p>
    <w:p w:rsidR="003027FF" w:rsidRDefault="00AE4321">
      <w:pPr>
        <w:autoSpaceDE w:val="0"/>
        <w:jc w:val="center"/>
      </w:pPr>
      <w:bookmarkStart w:id="0" w:name="_GoBack"/>
      <w:r>
        <w:rPr>
          <w:rFonts w:ascii="標楷體" w:eastAsia="標楷體" w:hAnsi="標楷體" w:cs="標楷體"/>
          <w:b/>
          <w:color w:val="000000"/>
          <w:sz w:val="28"/>
          <w:szCs w:val="28"/>
          <w:lang w:eastAsia="zh-TW"/>
        </w:rPr>
        <w:t>「閩南語教學好撇步</w:t>
      </w:r>
      <w:r>
        <w:rPr>
          <w:rFonts w:ascii="標楷體" w:eastAsia="標楷體" w:hAnsi="標楷體" w:cs="標楷體"/>
          <w:b/>
          <w:color w:val="000000"/>
          <w:sz w:val="28"/>
          <w:szCs w:val="28"/>
          <w:lang w:eastAsia="zh-TW"/>
        </w:rPr>
        <w:t>(</w:t>
      </w:r>
      <w:r>
        <w:rPr>
          <w:rFonts w:ascii="標楷體" w:eastAsia="標楷體" w:hAnsi="標楷體" w:cs="標楷體"/>
          <w:b/>
          <w:color w:val="000000"/>
          <w:sz w:val="28"/>
          <w:szCs w:val="28"/>
          <w:lang w:eastAsia="zh-TW"/>
        </w:rPr>
        <w:t>二</w:t>
      </w:r>
      <w:r>
        <w:rPr>
          <w:rFonts w:ascii="標楷體" w:eastAsia="標楷體" w:hAnsi="標楷體" w:cs="標楷體"/>
          <w:b/>
          <w:color w:val="000000"/>
          <w:sz w:val="28"/>
          <w:szCs w:val="28"/>
          <w:lang w:eastAsia="zh-TW"/>
        </w:rPr>
        <w:t>)-</w:t>
      </w:r>
      <w:r>
        <w:rPr>
          <w:lang w:eastAsia="zh-TW"/>
        </w:rPr>
        <w:t xml:space="preserve"> </w:t>
      </w:r>
      <w:r>
        <w:rPr>
          <w:rFonts w:ascii="標楷體" w:eastAsia="標楷體" w:hAnsi="標楷體" w:cs="標楷體"/>
          <w:b/>
          <w:color w:val="000000"/>
          <w:sz w:val="28"/>
          <w:szCs w:val="28"/>
          <w:lang w:eastAsia="zh-TW"/>
        </w:rPr>
        <w:t>素養導向教學佮語文競賽指導」研習實施計畫</w:t>
      </w:r>
    </w:p>
    <w:bookmarkEnd w:id="0"/>
    <w:p w:rsidR="003027FF" w:rsidRDefault="00AE4321">
      <w:pPr>
        <w:pStyle w:val="a7"/>
        <w:numPr>
          <w:ilvl w:val="0"/>
          <w:numId w:val="1"/>
        </w:numPr>
        <w:autoSpaceDE w:val="0"/>
      </w:pPr>
      <w:r>
        <w:rPr>
          <w:rFonts w:ascii="標楷體" w:eastAsia="標楷體" w:hAnsi="標楷體" w:cs="標楷體"/>
          <w:color w:val="000000"/>
          <w:sz w:val="23"/>
          <w:szCs w:val="23"/>
        </w:rPr>
        <w:t>依據：</w:t>
      </w:r>
    </w:p>
    <w:p w:rsidR="003027FF" w:rsidRDefault="00AE4321">
      <w:pPr>
        <w:snapToGrid w:val="0"/>
        <w:ind w:left="642" w:hanging="422"/>
      </w:pPr>
      <w:r>
        <w:rPr>
          <w:rFonts w:ascii="標楷體" w:eastAsia="標楷體" w:hAnsi="標楷體"/>
          <w:szCs w:val="24"/>
          <w:lang w:eastAsia="zh-TW"/>
        </w:rPr>
        <w:t>(</w:t>
      </w:r>
      <w:r>
        <w:rPr>
          <w:rFonts w:ascii="標楷體" w:eastAsia="標楷體" w:hAnsi="標楷體"/>
          <w:szCs w:val="24"/>
          <w:lang w:eastAsia="zh-TW"/>
        </w:rPr>
        <w:t>一</w:t>
      </w:r>
      <w:r>
        <w:rPr>
          <w:rFonts w:ascii="標楷體" w:eastAsia="標楷體" w:hAnsi="標楷體"/>
          <w:szCs w:val="24"/>
          <w:lang w:eastAsia="zh-TW"/>
        </w:rPr>
        <w:t>)</w:t>
      </w:r>
      <w:r>
        <w:rPr>
          <w:rFonts w:ascii="Times New Roman" w:eastAsia="標楷體" w:hAnsi="Times New Roman"/>
          <w:color w:val="000000"/>
          <w:szCs w:val="24"/>
          <w:lang w:eastAsia="zh-TW"/>
        </w:rPr>
        <w:t>教育部補助直轄市、縣</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市</w:t>
      </w:r>
      <w:r>
        <w:rPr>
          <w:rFonts w:ascii="Times New Roman" w:eastAsia="標楷體" w:hAnsi="Times New Roman"/>
          <w:color w:val="000000"/>
          <w:szCs w:val="24"/>
          <w:lang w:eastAsia="zh-TW"/>
        </w:rPr>
        <w:t>)</w:t>
      </w:r>
      <w:r>
        <w:rPr>
          <w:rFonts w:ascii="Times New Roman" w:eastAsia="標楷體" w:hAnsi="Times New Roman"/>
          <w:color w:val="000000"/>
          <w:szCs w:val="24"/>
          <w:lang w:eastAsia="zh-TW"/>
        </w:rPr>
        <w:t>政府精進國民中學及國民小學教師教學專業與課程品質作業要點</w:t>
      </w:r>
      <w:r>
        <w:rPr>
          <w:rFonts w:ascii="標楷體" w:eastAsia="標楷體" w:hAnsi="標楷體"/>
          <w:szCs w:val="24"/>
          <w:lang w:eastAsia="zh-TW"/>
        </w:rPr>
        <w:t>。</w:t>
      </w:r>
    </w:p>
    <w:p w:rsidR="003027FF" w:rsidRDefault="00AE4321">
      <w:pPr>
        <w:snapToGrid w:val="0"/>
        <w:ind w:left="642" w:hanging="422"/>
        <w:rPr>
          <w:rFonts w:ascii="標楷體" w:eastAsia="標楷體" w:hAnsi="標楷體"/>
          <w:szCs w:val="24"/>
          <w:lang w:eastAsia="zh-TW"/>
        </w:rPr>
      </w:pPr>
      <w:r>
        <w:rPr>
          <w:rFonts w:ascii="標楷體" w:eastAsia="標楷體" w:hAnsi="標楷體"/>
          <w:szCs w:val="24"/>
          <w:lang w:eastAsia="zh-TW"/>
        </w:rPr>
        <w:t>(</w:t>
      </w:r>
      <w:r>
        <w:rPr>
          <w:rFonts w:ascii="標楷體" w:eastAsia="標楷體" w:hAnsi="標楷體"/>
          <w:szCs w:val="24"/>
          <w:lang w:eastAsia="zh-TW"/>
        </w:rPr>
        <w:t>二</w:t>
      </w:r>
      <w:r>
        <w:rPr>
          <w:rFonts w:ascii="標楷體" w:eastAsia="標楷體" w:hAnsi="標楷體"/>
          <w:szCs w:val="24"/>
          <w:lang w:eastAsia="zh-TW"/>
        </w:rPr>
        <w:t>)</w:t>
      </w:r>
      <w:r>
        <w:rPr>
          <w:rFonts w:ascii="標楷體" w:eastAsia="標楷體" w:hAnsi="標楷體"/>
          <w:szCs w:val="24"/>
          <w:lang w:eastAsia="zh-TW"/>
        </w:rPr>
        <w:t>臺南市</w:t>
      </w:r>
      <w:r>
        <w:rPr>
          <w:rFonts w:ascii="標楷體" w:eastAsia="標楷體" w:hAnsi="標楷體"/>
          <w:szCs w:val="24"/>
          <w:lang w:eastAsia="zh-TW"/>
        </w:rPr>
        <w:t>109</w:t>
      </w:r>
      <w:r>
        <w:rPr>
          <w:rFonts w:ascii="標楷體" w:eastAsia="標楷體" w:hAnsi="標楷體"/>
          <w:szCs w:val="24"/>
          <w:lang w:eastAsia="zh-TW"/>
        </w:rPr>
        <w:t>學年度精進國民中小學教師教學專業與課程品質整體推動計畫。</w:t>
      </w:r>
    </w:p>
    <w:p w:rsidR="003027FF" w:rsidRDefault="00AE4321">
      <w:pPr>
        <w:snapToGrid w:val="0"/>
        <w:ind w:left="642" w:hanging="422"/>
      </w:pPr>
      <w:r>
        <w:rPr>
          <w:rFonts w:ascii="標楷體" w:eastAsia="標楷體" w:hAnsi="標楷體"/>
          <w:szCs w:val="24"/>
          <w:lang w:eastAsia="zh-TW"/>
        </w:rPr>
        <w:t>(</w:t>
      </w:r>
      <w:r>
        <w:rPr>
          <w:rFonts w:ascii="標楷體" w:eastAsia="標楷體" w:hAnsi="標楷體"/>
          <w:szCs w:val="24"/>
          <w:lang w:eastAsia="zh-TW"/>
        </w:rPr>
        <w:t>三</w:t>
      </w:r>
      <w:r>
        <w:rPr>
          <w:rFonts w:ascii="標楷體" w:eastAsia="標楷體" w:hAnsi="標楷體"/>
          <w:szCs w:val="24"/>
          <w:lang w:eastAsia="zh-TW"/>
        </w:rPr>
        <w:t>)</w:t>
      </w:r>
      <w:r>
        <w:rPr>
          <w:rFonts w:ascii="標楷體" w:eastAsia="標楷體" w:hAnsi="標楷體"/>
          <w:szCs w:val="24"/>
          <w:lang w:eastAsia="zh-TW"/>
        </w:rPr>
        <w:t>臺南市</w:t>
      </w:r>
      <w:r>
        <w:rPr>
          <w:rFonts w:ascii="標楷體" w:eastAsia="標楷體" w:hAnsi="標楷體"/>
          <w:szCs w:val="24"/>
          <w:lang w:eastAsia="zh-TW"/>
        </w:rPr>
        <w:t>109</w:t>
      </w:r>
      <w:r>
        <w:rPr>
          <w:rFonts w:ascii="標楷體" w:eastAsia="標楷體" w:hAnsi="標楷體"/>
          <w:szCs w:val="24"/>
          <w:lang w:eastAsia="zh-TW"/>
        </w:rPr>
        <w:t>學年</w:t>
      </w:r>
      <w:r>
        <w:rPr>
          <w:rFonts w:ascii="Times New Roman" w:eastAsia="標楷體" w:hAnsi="Times New Roman"/>
          <w:szCs w:val="24"/>
          <w:lang w:eastAsia="zh-TW"/>
        </w:rPr>
        <w:t>度國民教育輔導團整體團務計畫。</w:t>
      </w:r>
    </w:p>
    <w:p w:rsidR="003027FF" w:rsidRDefault="00AE4321">
      <w:pPr>
        <w:pStyle w:val="a7"/>
        <w:numPr>
          <w:ilvl w:val="0"/>
          <w:numId w:val="1"/>
        </w:numPr>
        <w:autoSpaceDE w:val="0"/>
      </w:pPr>
      <w:r>
        <w:rPr>
          <w:rFonts w:ascii="標楷體" w:eastAsia="標楷體" w:hAnsi="標楷體" w:cs="標楷體"/>
          <w:color w:val="000000"/>
          <w:sz w:val="23"/>
          <w:szCs w:val="23"/>
        </w:rPr>
        <w:t>目的：</w:t>
      </w:r>
    </w:p>
    <w:p w:rsidR="003027FF" w:rsidRDefault="00AE4321">
      <w:pPr>
        <w:autoSpaceDE w:val="0"/>
        <w:ind w:left="22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一</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提升教師對於本土語文教材教法、學生學習評量診斷的專業知能。</w:t>
      </w:r>
    </w:p>
    <w:p w:rsidR="003027FF" w:rsidRDefault="00AE4321">
      <w:pPr>
        <w:autoSpaceDE w:val="0"/>
        <w:ind w:left="685" w:hanging="465"/>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二</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透過專題講座、專業對話及教學示例產出，促進各領域教師探究本土語文融入社團活動，協助推廣有效教學。</w:t>
      </w:r>
    </w:p>
    <w:p w:rsidR="003027FF" w:rsidRDefault="00AE4321">
      <w:pPr>
        <w:autoSpaceDE w:val="0"/>
        <w:ind w:left="22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三</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藉由多元評量與學習診斷，進行有效教學策略與差異化教學的探究。</w:t>
      </w:r>
    </w:p>
    <w:p w:rsidR="003027FF" w:rsidRDefault="00AE4321">
      <w:pPr>
        <w:autoSpaceDE w:val="0"/>
        <w:ind w:left="22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四</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透過工作坊共備與返校授課實踐，建構本土語文融入社團活動教學的可行模式。</w:t>
      </w:r>
    </w:p>
    <w:p w:rsidR="003027FF" w:rsidRDefault="00AE4321">
      <w:pPr>
        <w:pStyle w:val="a7"/>
        <w:numPr>
          <w:ilvl w:val="0"/>
          <w:numId w:val="1"/>
        </w:numPr>
        <w:autoSpaceDE w:val="0"/>
      </w:pPr>
      <w:r>
        <w:rPr>
          <w:rFonts w:ascii="標楷體" w:eastAsia="標楷體" w:hAnsi="標楷體" w:cs="標楷體"/>
          <w:color w:val="000000"/>
          <w:sz w:val="23"/>
          <w:szCs w:val="23"/>
        </w:rPr>
        <w:t>辦理單位：</w:t>
      </w:r>
    </w:p>
    <w:p w:rsidR="003027FF" w:rsidRDefault="00AE4321">
      <w:pPr>
        <w:autoSpaceDE w:val="0"/>
        <w:ind w:left="22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一</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指導單位：教育部國民及學前教育署</w:t>
      </w:r>
    </w:p>
    <w:p w:rsidR="003027FF" w:rsidRDefault="00AE4321">
      <w:pPr>
        <w:autoSpaceDE w:val="0"/>
        <w:ind w:left="220"/>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二</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主辦單位：臺南市政府教育</w:t>
      </w:r>
      <w:r>
        <w:rPr>
          <w:rFonts w:ascii="標楷體" w:eastAsia="標楷體" w:hAnsi="標楷體" w:cs="標楷體"/>
          <w:color w:val="000000"/>
          <w:sz w:val="23"/>
          <w:szCs w:val="23"/>
          <w:lang w:eastAsia="zh-HK"/>
        </w:rPr>
        <w:t>局</w:t>
      </w:r>
    </w:p>
    <w:p w:rsidR="003027FF" w:rsidRDefault="00AE4321">
      <w:pPr>
        <w:autoSpaceDE w:val="0"/>
        <w:ind w:left="22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三</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承辦單位：臺南市語文學習領域本土語文輔導小組、臺南市岸內國小、臺南市東區復興國中</w:t>
      </w:r>
    </w:p>
    <w:p w:rsidR="003027FF" w:rsidRDefault="00AE4321">
      <w:pPr>
        <w:pStyle w:val="a7"/>
        <w:numPr>
          <w:ilvl w:val="0"/>
          <w:numId w:val="1"/>
        </w:numPr>
        <w:autoSpaceDE w:val="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辦理日期及地點：</w:t>
      </w:r>
      <w:r>
        <w:rPr>
          <w:rFonts w:ascii="標楷體" w:eastAsia="標楷體" w:hAnsi="標楷體" w:cs="標楷體"/>
          <w:color w:val="000000"/>
          <w:sz w:val="23"/>
          <w:szCs w:val="23"/>
          <w:lang w:eastAsia="zh-TW"/>
        </w:rPr>
        <w:t>109</w:t>
      </w:r>
      <w:r>
        <w:rPr>
          <w:rFonts w:ascii="標楷體" w:eastAsia="標楷體" w:hAnsi="標楷體" w:cs="標楷體"/>
          <w:color w:val="000000"/>
          <w:sz w:val="23"/>
          <w:szCs w:val="23"/>
          <w:lang w:eastAsia="zh-TW"/>
        </w:rPr>
        <w:t>年</w:t>
      </w:r>
      <w:r>
        <w:rPr>
          <w:rFonts w:ascii="標楷體" w:eastAsia="標楷體" w:hAnsi="標楷體" w:cs="標楷體"/>
          <w:color w:val="000000"/>
          <w:sz w:val="23"/>
          <w:szCs w:val="23"/>
          <w:lang w:eastAsia="zh-TW"/>
        </w:rPr>
        <w:t>8</w:t>
      </w:r>
      <w:r>
        <w:rPr>
          <w:rFonts w:ascii="標楷體" w:eastAsia="標楷體" w:hAnsi="標楷體" w:cs="標楷體"/>
          <w:color w:val="000000"/>
          <w:sz w:val="23"/>
          <w:szCs w:val="23"/>
          <w:lang w:eastAsia="zh-TW"/>
        </w:rPr>
        <w:t>月</w:t>
      </w:r>
      <w:r>
        <w:rPr>
          <w:rFonts w:ascii="標楷體" w:eastAsia="標楷體" w:hAnsi="標楷體" w:cs="標楷體"/>
          <w:color w:val="000000"/>
          <w:sz w:val="23"/>
          <w:szCs w:val="23"/>
          <w:lang w:eastAsia="zh-TW"/>
        </w:rPr>
        <w:t>18</w:t>
      </w:r>
      <w:r>
        <w:rPr>
          <w:rFonts w:ascii="標楷體" w:eastAsia="標楷體" w:hAnsi="標楷體" w:cs="標楷體"/>
          <w:color w:val="000000"/>
          <w:sz w:val="23"/>
          <w:szCs w:val="23"/>
          <w:lang w:eastAsia="zh-TW"/>
        </w:rPr>
        <w:t>日</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週二</w:t>
      </w:r>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臺南市東區復興國中</w:t>
      </w:r>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喜悅館</w:t>
      </w:r>
    </w:p>
    <w:p w:rsidR="003027FF" w:rsidRDefault="00AE4321">
      <w:pPr>
        <w:pStyle w:val="a7"/>
        <w:numPr>
          <w:ilvl w:val="0"/>
          <w:numId w:val="1"/>
        </w:numPr>
        <w:autoSpaceDE w:val="0"/>
      </w:pPr>
      <w:r>
        <w:rPr>
          <w:rFonts w:ascii="標楷體" w:eastAsia="標楷體" w:hAnsi="標楷體" w:cs="標楷體"/>
          <w:color w:val="000000"/>
          <w:sz w:val="23"/>
          <w:szCs w:val="23"/>
        </w:rPr>
        <w:t>參加對象及人數：</w:t>
      </w:r>
    </w:p>
    <w:p w:rsidR="003027FF" w:rsidRDefault="00AE4321">
      <w:pPr>
        <w:autoSpaceDE w:val="0"/>
        <w:spacing w:after="128"/>
        <w:ind w:left="22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一</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本市語文領域本土語文輔導小組團員。</w:t>
      </w:r>
    </w:p>
    <w:p w:rsidR="003027FF" w:rsidRDefault="00AE4321">
      <w:pPr>
        <w:autoSpaceDE w:val="0"/>
        <w:spacing w:after="128"/>
        <w:ind w:left="220"/>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二</w:t>
      </w:r>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對本土語言教學有興趣的教師及教學支援人員，共計</w:t>
      </w:r>
      <w:r>
        <w:rPr>
          <w:rFonts w:ascii="標楷體" w:eastAsia="標楷體" w:hAnsi="標楷體" w:cs="標楷體"/>
          <w:color w:val="000000"/>
          <w:sz w:val="23"/>
          <w:szCs w:val="23"/>
          <w:lang w:eastAsia="zh-TW"/>
        </w:rPr>
        <w:t>65</w:t>
      </w:r>
      <w:r>
        <w:rPr>
          <w:rFonts w:ascii="標楷體" w:eastAsia="標楷體" w:hAnsi="標楷體" w:cs="標楷體"/>
          <w:color w:val="000000"/>
          <w:sz w:val="23"/>
          <w:szCs w:val="23"/>
          <w:lang w:eastAsia="zh-TW"/>
        </w:rPr>
        <w:t>人。</w:t>
      </w:r>
    </w:p>
    <w:p w:rsidR="003027FF" w:rsidRDefault="003027FF">
      <w:pPr>
        <w:pageBreakBefore/>
        <w:spacing w:after="0" w:line="240" w:lineRule="auto"/>
        <w:rPr>
          <w:rFonts w:ascii="標楷體" w:eastAsia="標楷體" w:hAnsi="標楷體" w:cs="標楷體"/>
          <w:color w:val="000000"/>
          <w:sz w:val="23"/>
          <w:szCs w:val="23"/>
          <w:lang w:eastAsia="zh-TW"/>
        </w:rPr>
      </w:pPr>
    </w:p>
    <w:p w:rsidR="003027FF" w:rsidRDefault="003027FF">
      <w:pPr>
        <w:autoSpaceDE w:val="0"/>
        <w:spacing w:after="128"/>
        <w:ind w:left="220"/>
        <w:rPr>
          <w:rFonts w:ascii="標楷體" w:eastAsia="標楷體" w:hAnsi="標楷體" w:cs="標楷體"/>
          <w:color w:val="000000"/>
          <w:sz w:val="23"/>
          <w:szCs w:val="23"/>
          <w:lang w:eastAsia="zh-TW"/>
        </w:rPr>
      </w:pPr>
    </w:p>
    <w:p w:rsidR="003027FF" w:rsidRDefault="003027FF">
      <w:pPr>
        <w:pStyle w:val="a7"/>
        <w:numPr>
          <w:ilvl w:val="0"/>
          <w:numId w:val="2"/>
        </w:numPr>
        <w:autoSpaceDE w:val="0"/>
        <w:spacing w:after="128"/>
        <w:rPr>
          <w:rFonts w:ascii="標楷體" w:eastAsia="標楷體" w:hAnsi="標楷體" w:cs="標楷體"/>
          <w:vanish/>
          <w:color w:val="000000"/>
          <w:sz w:val="23"/>
          <w:szCs w:val="23"/>
          <w:lang w:eastAsia="zh-TW"/>
        </w:rPr>
      </w:pPr>
    </w:p>
    <w:p w:rsidR="003027FF" w:rsidRDefault="003027FF">
      <w:pPr>
        <w:pStyle w:val="a7"/>
        <w:numPr>
          <w:ilvl w:val="0"/>
          <w:numId w:val="2"/>
        </w:numPr>
        <w:autoSpaceDE w:val="0"/>
        <w:spacing w:after="128"/>
        <w:rPr>
          <w:rFonts w:ascii="標楷體" w:eastAsia="標楷體" w:hAnsi="標楷體" w:cs="標楷體"/>
          <w:vanish/>
          <w:color w:val="000000"/>
          <w:sz w:val="23"/>
          <w:szCs w:val="23"/>
          <w:lang w:eastAsia="zh-TW"/>
        </w:rPr>
      </w:pPr>
    </w:p>
    <w:p w:rsidR="003027FF" w:rsidRDefault="003027FF">
      <w:pPr>
        <w:pStyle w:val="a7"/>
        <w:numPr>
          <w:ilvl w:val="0"/>
          <w:numId w:val="2"/>
        </w:numPr>
        <w:autoSpaceDE w:val="0"/>
        <w:spacing w:after="128"/>
        <w:rPr>
          <w:rFonts w:ascii="標楷體" w:eastAsia="標楷體" w:hAnsi="標楷體" w:cs="標楷體"/>
          <w:vanish/>
          <w:color w:val="000000"/>
          <w:sz w:val="23"/>
          <w:szCs w:val="23"/>
          <w:lang w:eastAsia="zh-TW"/>
        </w:rPr>
      </w:pPr>
    </w:p>
    <w:p w:rsidR="003027FF" w:rsidRDefault="003027FF">
      <w:pPr>
        <w:pStyle w:val="a7"/>
        <w:numPr>
          <w:ilvl w:val="0"/>
          <w:numId w:val="2"/>
        </w:numPr>
        <w:autoSpaceDE w:val="0"/>
        <w:spacing w:after="128"/>
        <w:rPr>
          <w:rFonts w:ascii="標楷體" w:eastAsia="標楷體" w:hAnsi="標楷體" w:cs="標楷體"/>
          <w:vanish/>
          <w:color w:val="000000"/>
          <w:sz w:val="23"/>
          <w:szCs w:val="23"/>
          <w:lang w:eastAsia="zh-TW"/>
        </w:rPr>
      </w:pPr>
    </w:p>
    <w:p w:rsidR="003027FF" w:rsidRDefault="003027FF">
      <w:pPr>
        <w:pStyle w:val="a7"/>
        <w:numPr>
          <w:ilvl w:val="0"/>
          <w:numId w:val="2"/>
        </w:numPr>
        <w:autoSpaceDE w:val="0"/>
        <w:spacing w:after="128"/>
        <w:rPr>
          <w:rFonts w:ascii="標楷體" w:eastAsia="標楷體" w:hAnsi="標楷體" w:cs="標楷體"/>
          <w:vanish/>
          <w:color w:val="000000"/>
          <w:sz w:val="23"/>
          <w:szCs w:val="23"/>
          <w:lang w:eastAsia="zh-TW"/>
        </w:rPr>
      </w:pPr>
    </w:p>
    <w:p w:rsidR="003027FF" w:rsidRDefault="00AE4321">
      <w:pPr>
        <w:pStyle w:val="a7"/>
        <w:numPr>
          <w:ilvl w:val="0"/>
          <w:numId w:val="2"/>
        </w:numPr>
        <w:autoSpaceDE w:val="0"/>
        <w:spacing w:after="128"/>
      </w:pPr>
      <w:r>
        <w:rPr>
          <w:rFonts w:ascii="標楷體" w:eastAsia="標楷體" w:hAnsi="標楷體" w:cs="標楷體"/>
          <w:color w:val="000000"/>
          <w:sz w:val="23"/>
          <w:szCs w:val="23"/>
          <w:lang w:eastAsia="zh-TW"/>
        </w:rPr>
        <w:t>研習</w:t>
      </w:r>
      <w:r>
        <w:rPr>
          <w:rFonts w:ascii="標楷體" w:eastAsia="標楷體" w:hAnsi="標楷體" w:cs="標楷體"/>
          <w:color w:val="000000"/>
          <w:sz w:val="23"/>
          <w:szCs w:val="23"/>
          <w:lang w:eastAsia="zh-HK"/>
        </w:rPr>
        <w:t>課程表</w:t>
      </w:r>
    </w:p>
    <w:tbl>
      <w:tblPr>
        <w:tblW w:w="9639" w:type="dxa"/>
        <w:tblLayout w:type="fixed"/>
        <w:tblCellMar>
          <w:left w:w="10" w:type="dxa"/>
          <w:right w:w="10" w:type="dxa"/>
        </w:tblCellMar>
        <w:tblLook w:val="0000" w:firstRow="0" w:lastRow="0" w:firstColumn="0" w:lastColumn="0" w:noHBand="0" w:noVBand="0"/>
      </w:tblPr>
      <w:tblGrid>
        <w:gridCol w:w="1271"/>
        <w:gridCol w:w="1701"/>
        <w:gridCol w:w="3402"/>
        <w:gridCol w:w="2552"/>
        <w:gridCol w:w="713"/>
      </w:tblGrid>
      <w:tr w:rsidR="003027FF">
        <w:tblPrEx>
          <w:tblCellMar>
            <w:top w:w="0" w:type="dxa"/>
            <w:bottom w:w="0" w:type="dxa"/>
          </w:tblCellMar>
        </w:tblPrEx>
        <w:trPr>
          <w:trHeight w:val="137"/>
        </w:trPr>
        <w:tc>
          <w:tcPr>
            <w:tcW w:w="127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rPr>
            </w:pPr>
            <w:r>
              <w:rPr>
                <w:rFonts w:ascii="標楷體" w:eastAsia="標楷體" w:hAnsi="標楷體" w:cs="標楷體"/>
                <w:color w:val="000000"/>
                <w:szCs w:val="24"/>
              </w:rPr>
              <w:t>日期</w:t>
            </w:r>
          </w:p>
        </w:tc>
        <w:tc>
          <w:tcPr>
            <w:tcW w:w="170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rPr>
            </w:pPr>
            <w:r>
              <w:rPr>
                <w:rFonts w:ascii="標楷體" w:eastAsia="標楷體" w:hAnsi="標楷體" w:cs="標楷體"/>
                <w:color w:val="000000"/>
                <w:szCs w:val="24"/>
              </w:rPr>
              <w:t>時間</w:t>
            </w:r>
          </w:p>
        </w:tc>
        <w:tc>
          <w:tcPr>
            <w:tcW w:w="3402"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rPr>
            </w:pPr>
            <w:r>
              <w:rPr>
                <w:rFonts w:ascii="標楷體" w:eastAsia="標楷體" w:hAnsi="標楷體" w:cs="標楷體"/>
                <w:color w:val="000000"/>
                <w:szCs w:val="24"/>
              </w:rPr>
              <w:t>研討主題</w:t>
            </w:r>
          </w:p>
        </w:tc>
        <w:tc>
          <w:tcPr>
            <w:tcW w:w="2552"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rPr>
            </w:pPr>
            <w:r>
              <w:rPr>
                <w:rFonts w:ascii="標楷體" w:eastAsia="標楷體" w:hAnsi="標楷體" w:cs="標楷體"/>
                <w:color w:val="000000"/>
                <w:szCs w:val="24"/>
              </w:rPr>
              <w:t>講師</w:t>
            </w:r>
          </w:p>
        </w:tc>
        <w:tc>
          <w:tcPr>
            <w:tcW w:w="713"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rPr>
            </w:pPr>
            <w:r>
              <w:rPr>
                <w:rFonts w:ascii="標楷體" w:eastAsia="標楷體" w:hAnsi="標楷體" w:cs="標楷體"/>
                <w:color w:val="000000"/>
                <w:szCs w:val="24"/>
              </w:rPr>
              <w:t>備註</w:t>
            </w:r>
          </w:p>
        </w:tc>
      </w:tr>
      <w:tr w:rsidR="003027FF">
        <w:tblPrEx>
          <w:tblCellMar>
            <w:top w:w="0" w:type="dxa"/>
            <w:bottom w:w="0" w:type="dxa"/>
          </w:tblCellMar>
        </w:tblPrEx>
        <w:trPr>
          <w:trHeight w:val="13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AE4321">
            <w:pPr>
              <w:autoSpaceDE w:val="0"/>
            </w:pPr>
            <w:r>
              <w:rPr>
                <w:rFonts w:ascii="標楷體" w:eastAsia="標楷體" w:hAnsi="標楷體" w:cs="標楷體"/>
                <w:color w:val="000000"/>
                <w:szCs w:val="24"/>
                <w:lang w:eastAsia="zh-TW"/>
              </w:rPr>
              <w:t>8/18</w:t>
            </w:r>
          </w:p>
          <w:p w:rsidR="003027FF" w:rsidRDefault="00AE4321">
            <w:pPr>
              <w:autoSpaceDE w:val="0"/>
            </w:pPr>
            <w:r>
              <w:rPr>
                <w:rFonts w:ascii="標楷體" w:eastAsia="標楷體" w:hAnsi="標楷體" w:cs="標楷體"/>
                <w:color w:val="000000"/>
                <w:szCs w:val="24"/>
              </w:rPr>
              <w:t>(</w:t>
            </w:r>
            <w:r>
              <w:rPr>
                <w:rFonts w:ascii="標楷體" w:eastAsia="標楷體" w:hAnsi="標楷體" w:cs="標楷體"/>
                <w:color w:val="000000"/>
                <w:szCs w:val="24"/>
                <w:lang w:eastAsia="zh-TW"/>
              </w:rPr>
              <w:t>週二</w:t>
            </w:r>
            <w:r>
              <w:rPr>
                <w:rFonts w:ascii="標楷體" w:eastAsia="標楷體" w:hAnsi="標楷體" w:cs="標楷體"/>
                <w:color w:val="000000"/>
                <w:szCs w:val="24"/>
              </w:rPr>
              <w:t>)</w:t>
            </w: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pPr>
            <w:r>
              <w:rPr>
                <w:rFonts w:ascii="標楷體" w:eastAsia="標楷體" w:hAnsi="標楷體" w:cs="標楷體"/>
                <w:color w:val="000000"/>
                <w:szCs w:val="24"/>
                <w:lang w:eastAsia="zh-TW"/>
              </w:rPr>
              <w:t>08:40-09:00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pPr>
            <w:r>
              <w:rPr>
                <w:rFonts w:ascii="標楷體" w:eastAsia="標楷體" w:hAnsi="標楷體" w:cs="標楷體"/>
                <w:color w:val="000000"/>
                <w:szCs w:val="24"/>
                <w:lang w:eastAsia="zh-TW"/>
              </w:rPr>
              <w:t>報到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pPr>
            <w:r>
              <w:rPr>
                <w:rFonts w:ascii="標楷體" w:eastAsia="標楷體" w:hAnsi="標楷體" w:cs="標楷體"/>
                <w:color w:val="000000"/>
                <w:szCs w:val="24"/>
                <w:lang w:eastAsia="zh-TW"/>
              </w:rPr>
              <w:t>本土語文輔導團</w:t>
            </w:r>
          </w:p>
        </w:tc>
        <w:tc>
          <w:tcPr>
            <w:tcW w:w="71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rPr>
            </w:pPr>
          </w:p>
        </w:tc>
      </w:tr>
      <w:tr w:rsidR="003027FF">
        <w:tblPrEx>
          <w:tblCellMar>
            <w:top w:w="0" w:type="dxa"/>
            <w:bottom w:w="0" w:type="dxa"/>
          </w:tblCellMar>
        </w:tblPrEx>
        <w:trPr>
          <w:trHeight w:val="605"/>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09:00-09:50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第一次讀閩南語文領綱就上手</w:t>
            </w:r>
          </w:p>
        </w:tc>
        <w:tc>
          <w:tcPr>
            <w:tcW w:w="255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本土語文中央輔導團員</w:t>
            </w:r>
          </w:p>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魏俊陽老師</w:t>
            </w:r>
          </w:p>
        </w:tc>
        <w:tc>
          <w:tcPr>
            <w:tcW w:w="713"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r>
      <w:tr w:rsidR="003027FF">
        <w:tblPrEx>
          <w:tblCellMar>
            <w:top w:w="0" w:type="dxa"/>
            <w:bottom w:w="0" w:type="dxa"/>
          </w:tblCellMar>
        </w:tblPrEx>
        <w:trPr>
          <w:trHeight w:val="575"/>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10:00-10:50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素養導向教學設計示例實踐分享</w:t>
            </w:r>
          </w:p>
        </w:tc>
        <w:tc>
          <w:tcPr>
            <w:tcW w:w="25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c>
          <w:tcPr>
            <w:tcW w:w="713"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r>
      <w:tr w:rsidR="003027FF">
        <w:tblPrEx>
          <w:tblCellMar>
            <w:top w:w="0" w:type="dxa"/>
            <w:bottom w:w="0" w:type="dxa"/>
          </w:tblCellMar>
        </w:tblPrEx>
        <w:trPr>
          <w:trHeight w:val="573"/>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c>
          <w:tcPr>
            <w:tcW w:w="1701"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11:00-11:50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標準本位評量之解析及應用</w:t>
            </w:r>
          </w:p>
        </w:tc>
        <w:tc>
          <w:tcPr>
            <w:tcW w:w="25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c>
          <w:tcPr>
            <w:tcW w:w="713"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r>
      <w:tr w:rsidR="003027FF">
        <w:tblPrEx>
          <w:tblCellMar>
            <w:top w:w="0" w:type="dxa"/>
            <w:bottom w:w="0" w:type="dxa"/>
          </w:tblCellMar>
        </w:tblPrEx>
        <w:trPr>
          <w:trHeight w:val="546"/>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c>
          <w:tcPr>
            <w:tcW w:w="1701"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12:00-13:00</w:t>
            </w:r>
          </w:p>
        </w:tc>
        <w:tc>
          <w:tcPr>
            <w:tcW w:w="340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用餐時間</w:t>
            </w:r>
          </w:p>
        </w:tc>
        <w:tc>
          <w:tcPr>
            <w:tcW w:w="255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本土語文輔導團</w:t>
            </w:r>
          </w:p>
        </w:tc>
        <w:tc>
          <w:tcPr>
            <w:tcW w:w="71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r>
      <w:tr w:rsidR="003027FF">
        <w:tblPrEx>
          <w:tblCellMar>
            <w:top w:w="0" w:type="dxa"/>
            <w:bottom w:w="0" w:type="dxa"/>
          </w:tblCellMar>
        </w:tblPrEx>
        <w:trPr>
          <w:trHeight w:val="499"/>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13:00-13:50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閩南語演說指導好撇步</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本土語文中央輔導團員</w:t>
            </w:r>
          </w:p>
          <w:p w:rsidR="003027FF" w:rsidRDefault="00AE4321">
            <w:r>
              <w:rPr>
                <w:rFonts w:ascii="標楷體" w:eastAsia="標楷體" w:hAnsi="標楷體" w:cs="標楷體"/>
                <w:color w:val="000000"/>
                <w:szCs w:val="24"/>
                <w:lang w:eastAsia="zh-TW"/>
              </w:rPr>
              <w:t>魏俊陽老師</w:t>
            </w:r>
          </w:p>
          <w:p w:rsidR="003027FF" w:rsidRDefault="003027FF">
            <w:pPr>
              <w:rPr>
                <w:rFonts w:ascii="標楷體" w:eastAsia="標楷體" w:hAnsi="標楷體" w:cs="標楷體"/>
                <w:color w:val="000000"/>
                <w:szCs w:val="24"/>
                <w:lang w:eastAsia="zh-TW"/>
              </w:rPr>
            </w:pP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r>
      <w:tr w:rsidR="003027FF">
        <w:tblPrEx>
          <w:tblCellMar>
            <w:top w:w="0" w:type="dxa"/>
            <w:bottom w:w="0" w:type="dxa"/>
          </w:tblCellMar>
        </w:tblPrEx>
        <w:trPr>
          <w:trHeight w:val="565"/>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14:00-14:50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閩南語字音字形指導小偏方</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rPr>
                <w:lang w:eastAsia="zh-TW"/>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r>
      <w:tr w:rsidR="003027FF">
        <w:tblPrEx>
          <w:tblCellMar>
            <w:top w:w="0" w:type="dxa"/>
            <w:bottom w:w="0" w:type="dxa"/>
          </w:tblCellMar>
        </w:tblPrEx>
        <w:trPr>
          <w:trHeight w:val="503"/>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15:10-16:00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閩南語資源放送頭</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rPr>
                <w:rFonts w:ascii="標楷體" w:eastAsia="標楷體" w:hAnsi="標楷體" w:cs="標楷體"/>
                <w:color w:val="000000"/>
                <w:szCs w:val="24"/>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r>
      <w:tr w:rsidR="003027FF">
        <w:tblPrEx>
          <w:tblCellMar>
            <w:top w:w="0" w:type="dxa"/>
            <w:bottom w:w="0" w:type="dxa"/>
          </w:tblCellMar>
        </w:tblPrEx>
        <w:trPr>
          <w:trHeight w:val="583"/>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16:00-16:10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AE4321">
            <w:pPr>
              <w:autoSpaceDE w:val="0"/>
              <w:rPr>
                <w:rFonts w:ascii="標楷體" w:eastAsia="標楷體" w:hAnsi="標楷體" w:cs="標楷體"/>
                <w:color w:val="000000"/>
                <w:szCs w:val="24"/>
                <w:lang w:eastAsia="zh-TW"/>
              </w:rPr>
            </w:pPr>
            <w:r>
              <w:rPr>
                <w:rFonts w:ascii="標楷體" w:eastAsia="標楷體" w:hAnsi="標楷體" w:cs="標楷體"/>
                <w:color w:val="000000"/>
                <w:szCs w:val="24"/>
                <w:lang w:eastAsia="zh-TW"/>
              </w:rPr>
              <w:t>意見交流與問題</w:t>
            </w:r>
            <w:r>
              <w:rPr>
                <w:rFonts w:ascii="標楷體" w:eastAsia="標楷體" w:hAnsi="標楷體" w:cs="標楷體"/>
                <w:color w:val="000000"/>
                <w:szCs w:val="24"/>
                <w:lang w:eastAsia="zh-TW"/>
              </w:rPr>
              <w:t>Q&amp;A</w:t>
            </w:r>
            <w:r>
              <w:rPr>
                <w:rFonts w:ascii="標楷體" w:eastAsia="標楷體" w:hAnsi="標楷體" w:cs="標楷體"/>
                <w:color w:val="000000"/>
                <w:szCs w:val="24"/>
                <w:lang w:eastAsia="zh-TW"/>
              </w:rPr>
              <w:t>時間</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rPr>
                <w:lang w:eastAsia="zh-TW"/>
              </w:rPr>
            </w:pPr>
          </w:p>
        </w:tc>
        <w:tc>
          <w:tcPr>
            <w:tcW w:w="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r>
      <w:tr w:rsidR="003027FF">
        <w:tblPrEx>
          <w:tblCellMar>
            <w:top w:w="0" w:type="dxa"/>
            <w:bottom w:w="0" w:type="dxa"/>
          </w:tblCellMar>
        </w:tblPrEx>
        <w:trPr>
          <w:trHeight w:val="583"/>
        </w:trPr>
        <w:tc>
          <w:tcPr>
            <w:tcW w:w="1271" w:type="dxa"/>
            <w:tcBorders>
              <w:top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c>
          <w:tcPr>
            <w:tcW w:w="1701" w:type="dxa"/>
            <w:tcBorders>
              <w:top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c>
          <w:tcPr>
            <w:tcW w:w="3402" w:type="dxa"/>
            <w:tcBorders>
              <w:top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c>
          <w:tcPr>
            <w:tcW w:w="2552" w:type="dxa"/>
            <w:tcBorders>
              <w:top w:val="single" w:sz="4" w:space="0" w:color="000000"/>
            </w:tcBorders>
            <w:shd w:val="clear" w:color="auto" w:fill="auto"/>
            <w:tcMar>
              <w:top w:w="0" w:type="dxa"/>
              <w:left w:w="108" w:type="dxa"/>
              <w:bottom w:w="0" w:type="dxa"/>
              <w:right w:w="108" w:type="dxa"/>
            </w:tcMar>
          </w:tcPr>
          <w:p w:rsidR="003027FF" w:rsidRDefault="003027FF">
            <w:pPr>
              <w:rPr>
                <w:lang w:eastAsia="zh-TW"/>
              </w:rPr>
            </w:pPr>
          </w:p>
        </w:tc>
        <w:tc>
          <w:tcPr>
            <w:tcW w:w="713" w:type="dxa"/>
            <w:tcBorders>
              <w:top w:val="single" w:sz="4" w:space="0" w:color="000000"/>
            </w:tcBorders>
            <w:shd w:val="clear" w:color="auto" w:fill="auto"/>
            <w:tcMar>
              <w:top w:w="0" w:type="dxa"/>
              <w:left w:w="108" w:type="dxa"/>
              <w:bottom w:w="0" w:type="dxa"/>
              <w:right w:w="108" w:type="dxa"/>
            </w:tcMar>
          </w:tcPr>
          <w:p w:rsidR="003027FF" w:rsidRDefault="003027FF">
            <w:pPr>
              <w:autoSpaceDE w:val="0"/>
              <w:rPr>
                <w:rFonts w:ascii="標楷體" w:eastAsia="標楷體" w:hAnsi="標楷體" w:cs="標楷體"/>
                <w:color w:val="000000"/>
                <w:szCs w:val="24"/>
                <w:lang w:eastAsia="zh-TW"/>
              </w:rPr>
            </w:pPr>
          </w:p>
        </w:tc>
      </w:tr>
    </w:tbl>
    <w:p w:rsidR="003027FF" w:rsidRDefault="00AE4321">
      <w:pPr>
        <w:pStyle w:val="a7"/>
        <w:numPr>
          <w:ilvl w:val="0"/>
          <w:numId w:val="3"/>
        </w:numPr>
        <w:autoSpaceDE w:val="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報名方式：請上學習護照報名，研習代號：</w:t>
      </w:r>
      <w:r>
        <w:rPr>
          <w:rFonts w:ascii="標楷體" w:eastAsia="標楷體" w:hAnsi="標楷體" w:cs="標楷體"/>
          <w:color w:val="000000"/>
          <w:sz w:val="23"/>
          <w:szCs w:val="23"/>
          <w:lang w:eastAsia="zh-TW"/>
        </w:rPr>
        <w:t>241459</w:t>
      </w:r>
      <w:r>
        <w:rPr>
          <w:rFonts w:ascii="標楷體" w:eastAsia="標楷體" w:hAnsi="標楷體" w:cs="標楷體"/>
          <w:color w:val="000000"/>
          <w:sz w:val="23"/>
          <w:szCs w:val="23"/>
          <w:lang w:eastAsia="zh-TW"/>
        </w:rPr>
        <w:t>。</w:t>
      </w:r>
    </w:p>
    <w:p w:rsidR="003027FF" w:rsidRDefault="00AE4321">
      <w:pPr>
        <w:pStyle w:val="a7"/>
        <w:autoSpaceDE w:val="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聯絡人</w:t>
      </w:r>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麻豆國小</w:t>
      </w:r>
      <w:r>
        <w:rPr>
          <w:rFonts w:ascii="標楷體" w:eastAsia="標楷體" w:hAnsi="標楷體" w:cs="標楷體"/>
          <w:color w:val="000000"/>
          <w:sz w:val="23"/>
          <w:szCs w:val="23"/>
          <w:lang w:eastAsia="zh-TW"/>
        </w:rPr>
        <w:t xml:space="preserve">  </w:t>
      </w:r>
      <w:r>
        <w:rPr>
          <w:rFonts w:ascii="標楷體" w:eastAsia="標楷體" w:hAnsi="標楷體" w:cs="標楷體"/>
          <w:color w:val="000000"/>
          <w:sz w:val="23"/>
          <w:szCs w:val="23"/>
          <w:lang w:eastAsia="zh-TW"/>
        </w:rPr>
        <w:t>黃姿榕老師</w:t>
      </w:r>
      <w:r>
        <w:rPr>
          <w:rFonts w:ascii="標楷體" w:eastAsia="標楷體" w:hAnsi="標楷體" w:cs="標楷體"/>
          <w:color w:val="000000"/>
          <w:sz w:val="23"/>
          <w:szCs w:val="23"/>
          <w:lang w:eastAsia="zh-TW"/>
        </w:rPr>
        <w:t xml:space="preserve">  5722145-801</w:t>
      </w:r>
    </w:p>
    <w:p w:rsidR="003027FF" w:rsidRDefault="00AE4321">
      <w:pPr>
        <w:pStyle w:val="a7"/>
        <w:numPr>
          <w:ilvl w:val="0"/>
          <w:numId w:val="3"/>
        </w:numPr>
        <w:autoSpaceDE w:val="0"/>
        <w:rPr>
          <w:rFonts w:ascii="標楷體" w:eastAsia="標楷體" w:hAnsi="標楷體" w:cs="標楷體"/>
          <w:color w:val="000000"/>
          <w:sz w:val="23"/>
          <w:szCs w:val="23"/>
        </w:rPr>
      </w:pPr>
      <w:r>
        <w:rPr>
          <w:rFonts w:ascii="標楷體" w:eastAsia="標楷體" w:hAnsi="標楷體" w:cs="標楷體"/>
          <w:color w:val="000000"/>
          <w:sz w:val="23"/>
          <w:szCs w:val="23"/>
        </w:rPr>
        <w:t>預期成效</w:t>
      </w:r>
    </w:p>
    <w:p w:rsidR="003027FF" w:rsidRDefault="00AE4321">
      <w:pPr>
        <w:autoSpaceDE w:val="0"/>
        <w:ind w:left="220"/>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一</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增進教師本土語文</w:t>
      </w:r>
      <w:r>
        <w:rPr>
          <w:rFonts w:ascii="標楷體" w:eastAsia="標楷體" w:hAnsi="標楷體" w:cs="標楷體"/>
          <w:color w:val="000000"/>
          <w:szCs w:val="24"/>
          <w:lang w:eastAsia="zh-TW"/>
        </w:rPr>
        <w:t>課程設計與教學</w:t>
      </w:r>
      <w:r>
        <w:rPr>
          <w:rFonts w:ascii="標楷體" w:eastAsia="標楷體" w:hAnsi="標楷體" w:cs="標楷體"/>
          <w:color w:val="000000"/>
          <w:sz w:val="23"/>
          <w:szCs w:val="23"/>
          <w:lang w:eastAsia="zh-TW"/>
        </w:rPr>
        <w:t>能力，提升學生學習成效。</w:t>
      </w:r>
    </w:p>
    <w:p w:rsidR="003027FF" w:rsidRDefault="00AE4321">
      <w:pPr>
        <w:autoSpaceDE w:val="0"/>
        <w:ind w:left="22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二</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將研習所獲得之專業知能運用在教學輔導上，精進教師課堂教學能力。</w:t>
      </w:r>
    </w:p>
    <w:p w:rsidR="003027FF" w:rsidRDefault="00AE4321">
      <w:pPr>
        <w:autoSpaceDE w:val="0"/>
        <w:ind w:left="671" w:hanging="451"/>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三</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承辦學校在不影響著作權情況下，將研習內容登錄於本市本土語文相關網路平台，以分享給所有教育夥伴。</w:t>
      </w:r>
    </w:p>
    <w:p w:rsidR="003027FF" w:rsidRDefault="00AE4321">
      <w:pPr>
        <w:pStyle w:val="a7"/>
        <w:numPr>
          <w:ilvl w:val="0"/>
          <w:numId w:val="3"/>
        </w:numPr>
        <w:autoSpaceDE w:val="0"/>
        <w:rPr>
          <w:rFonts w:ascii="標楷體" w:eastAsia="標楷體" w:hAnsi="標楷體" w:cs="標楷體"/>
          <w:color w:val="000000"/>
          <w:sz w:val="23"/>
          <w:szCs w:val="23"/>
        </w:rPr>
      </w:pPr>
      <w:r>
        <w:rPr>
          <w:rFonts w:ascii="標楷體" w:eastAsia="標楷體" w:hAnsi="標楷體" w:cs="標楷體"/>
          <w:color w:val="000000"/>
          <w:sz w:val="23"/>
          <w:szCs w:val="23"/>
        </w:rPr>
        <w:t>成效評估之實施</w:t>
      </w:r>
    </w:p>
    <w:p w:rsidR="003027FF" w:rsidRDefault="00AE4321">
      <w:pPr>
        <w:autoSpaceDE w:val="0"/>
        <w:ind w:left="22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本案成效評估將採用</w:t>
      </w:r>
      <w:r>
        <w:rPr>
          <w:rFonts w:ascii="標楷體" w:eastAsia="標楷體" w:hAnsi="標楷體" w:cs="標楷體"/>
          <w:color w:val="000000"/>
          <w:sz w:val="23"/>
          <w:szCs w:val="23"/>
          <w:lang w:eastAsia="zh-TW"/>
        </w:rPr>
        <w:t>Guskey</w:t>
      </w:r>
      <w:r>
        <w:rPr>
          <w:rFonts w:ascii="標楷體" w:eastAsia="標楷體" w:hAnsi="標楷體" w:cs="標楷體"/>
          <w:color w:val="000000"/>
          <w:sz w:val="23"/>
          <w:szCs w:val="23"/>
          <w:lang w:eastAsia="zh-TW"/>
        </w:rPr>
        <w:t>的教師專業成長評估模式的構面，如：教師反應、教師學習、組織支持與改變、教師使用新知能及學生學習結果，針對輔導員及參加教師選定三個構面以上</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其中一個為學生學習結果</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進行質性或量化分析，透由後設評鑑方式掌握教學與評量共備工作坊成效，藉以不斷滾動修正運作模式。</w:t>
      </w:r>
    </w:p>
    <w:p w:rsidR="003027FF" w:rsidRDefault="00AE4321">
      <w:pPr>
        <w:pStyle w:val="a7"/>
        <w:numPr>
          <w:ilvl w:val="0"/>
          <w:numId w:val="3"/>
        </w:numPr>
        <w:autoSpaceDE w:val="0"/>
        <w:rPr>
          <w:rFonts w:ascii="標楷體" w:eastAsia="標楷體" w:hAnsi="標楷體" w:cs="標楷體"/>
          <w:color w:val="000000"/>
          <w:sz w:val="23"/>
          <w:szCs w:val="23"/>
        </w:rPr>
      </w:pPr>
      <w:r>
        <w:rPr>
          <w:rFonts w:ascii="標楷體" w:eastAsia="標楷體" w:hAnsi="標楷體" w:cs="標楷體"/>
          <w:color w:val="000000"/>
          <w:sz w:val="23"/>
          <w:szCs w:val="23"/>
        </w:rPr>
        <w:t>獎勵及差假</w:t>
      </w:r>
    </w:p>
    <w:p w:rsidR="003027FF" w:rsidRDefault="00AE4321">
      <w:pPr>
        <w:autoSpaceDE w:val="0"/>
        <w:ind w:left="220"/>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一</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參加研習人員及工作人員請惠予公假登記暨課務排代。</w:t>
      </w:r>
    </w:p>
    <w:p w:rsidR="003027FF" w:rsidRDefault="00AE4321">
      <w:pPr>
        <w:autoSpaceDE w:val="0"/>
        <w:ind w:left="671" w:hanging="451"/>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二</w:t>
      </w:r>
      <w:r>
        <w:rPr>
          <w:rFonts w:ascii="標楷體" w:eastAsia="標楷體" w:hAnsi="標楷體" w:cs="標楷體"/>
          <w:color w:val="000000"/>
          <w:sz w:val="23"/>
          <w:szCs w:val="23"/>
          <w:lang w:eastAsia="zh-TW"/>
        </w:rPr>
        <w:t>)</w:t>
      </w:r>
      <w:r>
        <w:rPr>
          <w:rFonts w:ascii="標楷體" w:eastAsia="標楷體" w:hAnsi="標楷體" w:cs="標楷體"/>
          <w:color w:val="000000"/>
          <w:sz w:val="23"/>
          <w:szCs w:val="23"/>
          <w:lang w:eastAsia="zh-TW"/>
        </w:rPr>
        <w:t>執行本項活動有功人員，依「臺南市公立中小學及幼稚園授權獎懲案件獎懲標準表」辦理敘獎</w:t>
      </w:r>
    </w:p>
    <w:p w:rsidR="003027FF" w:rsidRDefault="00AE4321">
      <w:pPr>
        <w:pStyle w:val="a7"/>
        <w:numPr>
          <w:ilvl w:val="0"/>
          <w:numId w:val="3"/>
        </w:numPr>
        <w:autoSpaceDE w:val="0"/>
        <w:rPr>
          <w:rFonts w:ascii="標楷體" w:eastAsia="標楷體" w:hAnsi="標楷體" w:cs="標楷體"/>
          <w:color w:val="000000"/>
          <w:sz w:val="23"/>
          <w:szCs w:val="23"/>
        </w:rPr>
      </w:pPr>
      <w:r>
        <w:rPr>
          <w:rFonts w:ascii="標楷體" w:eastAsia="標楷體" w:hAnsi="標楷體" w:cs="標楷體"/>
          <w:color w:val="000000"/>
          <w:sz w:val="23"/>
          <w:szCs w:val="23"/>
        </w:rPr>
        <w:t>經費來源：</w:t>
      </w:r>
    </w:p>
    <w:p w:rsidR="003027FF" w:rsidRDefault="00AE4321">
      <w:pPr>
        <w:autoSpaceDE w:val="0"/>
        <w:ind w:left="671" w:hanging="451"/>
      </w:pPr>
      <w:r>
        <w:rPr>
          <w:rFonts w:ascii="標楷體" w:eastAsia="標楷體" w:hAnsi="標楷體" w:cs="標楷體"/>
          <w:color w:val="000000"/>
          <w:sz w:val="23"/>
          <w:szCs w:val="23"/>
          <w:lang w:eastAsia="zh-TW"/>
        </w:rPr>
        <w:lastRenderedPageBreak/>
        <w:t>(</w:t>
      </w:r>
      <w:r>
        <w:rPr>
          <w:rFonts w:ascii="標楷體" w:eastAsia="標楷體" w:hAnsi="標楷體" w:cs="標楷體"/>
          <w:color w:val="000000"/>
          <w:sz w:val="23"/>
          <w:szCs w:val="23"/>
          <w:lang w:eastAsia="zh-HK"/>
        </w:rPr>
        <w:t>一</w:t>
      </w:r>
      <w:r>
        <w:rPr>
          <w:rFonts w:ascii="標楷體" w:eastAsia="標楷體" w:hAnsi="標楷體" w:cs="標楷體"/>
          <w:color w:val="000000"/>
          <w:sz w:val="23"/>
          <w:szCs w:val="23"/>
          <w:lang w:eastAsia="zh-HK"/>
        </w:rPr>
        <w:t>)</w:t>
      </w:r>
      <w:r>
        <w:rPr>
          <w:rFonts w:ascii="標楷體" w:eastAsia="標楷體" w:hAnsi="標楷體" w:cs="標楷體"/>
          <w:color w:val="000000"/>
          <w:sz w:val="23"/>
          <w:szCs w:val="23"/>
          <w:lang w:eastAsia="zh-TW"/>
        </w:rPr>
        <w:t>本案經費來源為教育部國民及學前教育署補助本市</w:t>
      </w:r>
      <w:r>
        <w:rPr>
          <w:rFonts w:ascii="標楷體" w:eastAsia="標楷體" w:hAnsi="標楷體" w:cs="標楷體"/>
          <w:color w:val="000000"/>
          <w:sz w:val="23"/>
          <w:szCs w:val="23"/>
          <w:lang w:eastAsia="zh-TW"/>
        </w:rPr>
        <w:t>辦理「十二年國民基本教育精進國民中學及國民小學教學品質計畫」項下經費支應。</w:t>
      </w:r>
    </w:p>
    <w:p w:rsidR="003027FF" w:rsidRDefault="00AE4321">
      <w:pPr>
        <w:pStyle w:val="a7"/>
        <w:numPr>
          <w:ilvl w:val="0"/>
          <w:numId w:val="3"/>
        </w:numPr>
        <w:rPr>
          <w:rFonts w:ascii="標楷體" w:eastAsia="標楷體" w:hAnsi="標楷體" w:cs="標楷體"/>
          <w:color w:val="000000"/>
          <w:sz w:val="23"/>
          <w:szCs w:val="23"/>
          <w:lang w:eastAsia="zh-TW"/>
        </w:rPr>
      </w:pPr>
      <w:r>
        <w:rPr>
          <w:rFonts w:ascii="標楷體" w:eastAsia="標楷體" w:hAnsi="標楷體" w:cs="標楷體"/>
          <w:color w:val="000000"/>
          <w:sz w:val="23"/>
          <w:szCs w:val="23"/>
          <w:lang w:eastAsia="zh-TW"/>
        </w:rPr>
        <w:t>本案經奉核定後實施，修正時亦同。</w:t>
      </w:r>
    </w:p>
    <w:p w:rsidR="003027FF" w:rsidRDefault="003027FF">
      <w:pPr>
        <w:rPr>
          <w:lang w:eastAsia="zh-TW"/>
        </w:rPr>
      </w:pPr>
    </w:p>
    <w:sectPr w:rsidR="003027FF">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21" w:rsidRDefault="00AE4321">
      <w:pPr>
        <w:spacing w:after="0" w:line="240" w:lineRule="auto"/>
      </w:pPr>
      <w:r>
        <w:separator/>
      </w:r>
    </w:p>
  </w:endnote>
  <w:endnote w:type="continuationSeparator" w:id="0">
    <w:p w:rsidR="00AE4321" w:rsidRDefault="00AE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21" w:rsidRDefault="00AE4321">
      <w:pPr>
        <w:spacing w:after="0" w:line="240" w:lineRule="auto"/>
      </w:pPr>
      <w:r>
        <w:rPr>
          <w:color w:val="000000"/>
        </w:rPr>
        <w:separator/>
      </w:r>
    </w:p>
  </w:footnote>
  <w:footnote w:type="continuationSeparator" w:id="0">
    <w:p w:rsidR="00AE4321" w:rsidRDefault="00AE4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433"/>
    <w:multiLevelType w:val="multilevel"/>
    <w:tmpl w:val="9306E03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C4189D"/>
    <w:multiLevelType w:val="multilevel"/>
    <w:tmpl w:val="C994E15A"/>
    <w:lvl w:ilvl="0">
      <w:start w:val="7"/>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DAC6445"/>
    <w:multiLevelType w:val="multilevel"/>
    <w:tmpl w:val="058E7C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027FF"/>
    <w:rsid w:val="003027FF"/>
    <w:rsid w:val="00681F80"/>
    <w:rsid w:val="00AE43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A80A1-EF7E-403A-A9C6-F053561C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before="100" w:after="100"/>
    </w:pPr>
    <w:rPr>
      <w:rFonts w:ascii="新細明體" w:hAnsi="新細明體" w:cs="新細明體"/>
      <w:szCs w:val="24"/>
    </w:rPr>
  </w:style>
  <w:style w:type="character" w:customStyle="1" w:styleId="20">
    <w:name w:val="本文縮排 2 字元"/>
    <w:basedOn w:val="a0"/>
    <w:rPr>
      <w:rFonts w:ascii="新細明體" w:eastAsia="新細明體" w:hAnsi="新細明體" w:cs="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widowControl w:val="0"/>
      <w:spacing w:after="0" w:line="240" w:lineRule="auto"/>
      <w:ind w:left="480"/>
    </w:pPr>
    <w:rPr>
      <w:sz w:val="20"/>
      <w:szCs w:val="20"/>
    </w:rPr>
  </w:style>
  <w:style w:type="character" w:customStyle="1" w:styleId="a8">
    <w:name w:val="清單段落 字元"/>
    <w:rPr>
      <w:rFonts w:ascii="Calibri" w:eastAsia="新細明體" w:hAnsi="Calibri" w:cs="Times New Roman"/>
      <w:kern w:val="0"/>
      <w:sz w:val="20"/>
      <w:szCs w:val="20"/>
      <w:lang w:eastAsia="en-US"/>
    </w:rPr>
  </w:style>
  <w:style w:type="paragraph" w:styleId="a9">
    <w:name w:val="Balloon Text"/>
    <w:basedOn w:val="a"/>
    <w:pPr>
      <w:spacing w:after="0" w:line="240" w:lineRule="auto"/>
    </w:pPr>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Windows 使用者</cp:lastModifiedBy>
  <cp:revision>2</cp:revision>
  <cp:lastPrinted>2020-07-17T09:53:00Z</cp:lastPrinted>
  <dcterms:created xsi:type="dcterms:W3CDTF">2020-07-22T01:12:00Z</dcterms:created>
  <dcterms:modified xsi:type="dcterms:W3CDTF">2020-07-22T01:12:00Z</dcterms:modified>
</cp:coreProperties>
</file>